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F3" w:rsidRDefault="00C91B54" w:rsidP="002752F3">
      <w:pPr>
        <w:spacing w:after="0" w:line="240" w:lineRule="auto"/>
        <w:jc w:val="both"/>
        <w:rPr>
          <w:rFonts w:asciiTheme="minorHAnsi" w:hAnsiTheme="minorHAnsi" w:cs="Arial"/>
          <w:b/>
          <w:sz w:val="32"/>
          <w:szCs w:val="32"/>
        </w:rPr>
      </w:pPr>
      <w:r>
        <w:rPr>
          <w:rFonts w:asciiTheme="minorHAnsi" w:hAnsiTheme="minorHAnsi" w:cs="Arial"/>
          <w:b/>
          <w:sz w:val="32"/>
          <w:szCs w:val="32"/>
        </w:rPr>
        <w:t>Prekär Beschäftigte</w:t>
      </w:r>
      <w:r w:rsidR="00F94BDD">
        <w:rPr>
          <w:rFonts w:asciiTheme="minorHAnsi" w:hAnsiTheme="minorHAnsi" w:cs="Arial"/>
          <w:b/>
          <w:sz w:val="32"/>
          <w:szCs w:val="32"/>
        </w:rPr>
        <w:t xml:space="preserve"> selten</w:t>
      </w:r>
      <w:r>
        <w:rPr>
          <w:rFonts w:asciiTheme="minorHAnsi" w:hAnsiTheme="minorHAnsi" w:cs="Arial"/>
          <w:b/>
          <w:sz w:val="32"/>
          <w:szCs w:val="32"/>
        </w:rPr>
        <w:t>er</w:t>
      </w:r>
      <w:r w:rsidR="00F94BDD">
        <w:rPr>
          <w:rFonts w:asciiTheme="minorHAnsi" w:hAnsiTheme="minorHAnsi" w:cs="Arial"/>
          <w:b/>
          <w:sz w:val="32"/>
          <w:szCs w:val="32"/>
        </w:rPr>
        <w:t xml:space="preserve"> </w:t>
      </w:r>
      <w:r>
        <w:rPr>
          <w:rFonts w:asciiTheme="minorHAnsi" w:hAnsiTheme="minorHAnsi" w:cs="Arial"/>
          <w:b/>
          <w:sz w:val="32"/>
          <w:szCs w:val="32"/>
        </w:rPr>
        <w:t xml:space="preserve">durch einen Betriebsrat </w:t>
      </w:r>
      <w:r w:rsidR="00F94BDD">
        <w:rPr>
          <w:rFonts w:asciiTheme="minorHAnsi" w:hAnsiTheme="minorHAnsi" w:cs="Arial"/>
          <w:b/>
          <w:sz w:val="32"/>
          <w:szCs w:val="32"/>
        </w:rPr>
        <w:t>geschützt</w:t>
      </w:r>
    </w:p>
    <w:p w:rsidR="002752F3" w:rsidRPr="006815D1" w:rsidRDefault="002752F3" w:rsidP="002752F3">
      <w:pPr>
        <w:spacing w:after="0" w:line="240" w:lineRule="auto"/>
        <w:jc w:val="both"/>
        <w:rPr>
          <w:rFonts w:asciiTheme="minorHAnsi" w:hAnsiTheme="minorHAnsi" w:cs="Arial"/>
          <w:b/>
        </w:rPr>
      </w:pPr>
    </w:p>
    <w:p w:rsidR="002752F3" w:rsidRPr="00B86951" w:rsidRDefault="002752F3" w:rsidP="002752F3">
      <w:pPr>
        <w:spacing w:after="0" w:line="240" w:lineRule="auto"/>
        <w:jc w:val="both"/>
        <w:rPr>
          <w:rFonts w:asciiTheme="minorHAnsi" w:hAnsiTheme="minorHAnsi" w:cs="Arial"/>
          <w:b/>
        </w:rPr>
      </w:pPr>
      <w:r w:rsidRPr="00B86951">
        <w:rPr>
          <w:rFonts w:asciiTheme="minorHAnsi" w:hAnsiTheme="minorHAnsi" w:cs="Arial"/>
          <w:b/>
        </w:rPr>
        <w:t>Auswertung der Antwort der Bundesregierung auf die Kleine Anfrage „</w:t>
      </w:r>
      <w:r w:rsidR="006A2768">
        <w:rPr>
          <w:rFonts w:asciiTheme="minorHAnsi" w:hAnsiTheme="minorHAnsi" w:cs="Arial"/>
          <w:b/>
        </w:rPr>
        <w:t>Betriebliche Mitbestimmung in Deutschland</w:t>
      </w:r>
      <w:r w:rsidRPr="00B86951">
        <w:rPr>
          <w:rFonts w:asciiTheme="minorHAnsi" w:hAnsiTheme="minorHAnsi" w:cs="Arial"/>
          <w:b/>
        </w:rPr>
        <w:t>“ (</w:t>
      </w:r>
      <w:proofErr w:type="spellStart"/>
      <w:r w:rsidRPr="00B86951">
        <w:rPr>
          <w:rFonts w:asciiTheme="minorHAnsi" w:hAnsiTheme="minorHAnsi" w:cs="Arial"/>
          <w:b/>
        </w:rPr>
        <w:t>Drs</w:t>
      </w:r>
      <w:proofErr w:type="spellEnd"/>
      <w:r w:rsidRPr="00B86951">
        <w:rPr>
          <w:rFonts w:asciiTheme="minorHAnsi" w:hAnsiTheme="minorHAnsi" w:cs="Arial"/>
          <w:b/>
        </w:rPr>
        <w:t>. 19/</w:t>
      </w:r>
      <w:r>
        <w:rPr>
          <w:rFonts w:asciiTheme="minorHAnsi" w:hAnsiTheme="minorHAnsi" w:cs="Arial"/>
          <w:b/>
        </w:rPr>
        <w:t>11062</w:t>
      </w:r>
      <w:r w:rsidRPr="00B86951">
        <w:rPr>
          <w:rFonts w:asciiTheme="minorHAnsi" w:hAnsiTheme="minorHAnsi" w:cs="Arial"/>
          <w:b/>
        </w:rPr>
        <w:t>) von Jutta Krellmann u.a. und der Fraktion DIE LINKE im Bundestag</w:t>
      </w:r>
    </w:p>
    <w:p w:rsidR="002752F3" w:rsidRPr="00F00BE5" w:rsidRDefault="002752F3" w:rsidP="002752F3">
      <w:pPr>
        <w:spacing w:after="0" w:line="240" w:lineRule="auto"/>
        <w:jc w:val="both"/>
        <w:rPr>
          <w:rFonts w:asciiTheme="minorHAnsi" w:hAnsiTheme="minorHAnsi" w:cs="Arial"/>
        </w:rPr>
      </w:pPr>
    </w:p>
    <w:p w:rsidR="002752F3" w:rsidRDefault="002752F3" w:rsidP="002752F3">
      <w:pPr>
        <w:spacing w:after="0" w:line="240" w:lineRule="auto"/>
        <w:jc w:val="both"/>
        <w:rPr>
          <w:rFonts w:asciiTheme="minorHAnsi" w:hAnsiTheme="minorHAnsi" w:cs="Arial"/>
          <w:b/>
          <w:u w:val="single"/>
        </w:rPr>
      </w:pPr>
      <w:r w:rsidRPr="00F00BE5">
        <w:rPr>
          <w:rFonts w:asciiTheme="minorHAnsi" w:hAnsiTheme="minorHAnsi" w:cs="Arial"/>
          <w:b/>
          <w:u w:val="single"/>
        </w:rPr>
        <w:t xml:space="preserve">Zusammenfassung: </w:t>
      </w:r>
    </w:p>
    <w:p w:rsidR="00DA4706" w:rsidRDefault="00DA4706" w:rsidP="002752F3">
      <w:pPr>
        <w:spacing w:after="0" w:line="240" w:lineRule="auto"/>
        <w:jc w:val="both"/>
        <w:rPr>
          <w:rFonts w:asciiTheme="minorHAnsi" w:hAnsiTheme="minorHAnsi" w:cs="Arial"/>
          <w:b/>
          <w:u w:val="single"/>
        </w:rPr>
      </w:pPr>
    </w:p>
    <w:p w:rsidR="00602734" w:rsidRDefault="002752F3" w:rsidP="00602734">
      <w:pPr>
        <w:spacing w:after="120" w:line="240" w:lineRule="auto"/>
        <w:jc w:val="both"/>
        <w:rPr>
          <w:rFonts w:asciiTheme="minorHAnsi" w:hAnsiTheme="minorHAnsi" w:cs="Arial"/>
        </w:rPr>
      </w:pPr>
      <w:r>
        <w:rPr>
          <w:rFonts w:asciiTheme="minorHAnsi" w:hAnsiTheme="minorHAnsi" w:cs="Arial"/>
        </w:rPr>
        <w:t xml:space="preserve">In </w:t>
      </w:r>
      <w:r w:rsidRPr="0076219A">
        <w:rPr>
          <w:rFonts w:asciiTheme="minorHAnsi" w:hAnsiTheme="minorHAnsi" w:cs="Arial"/>
        </w:rPr>
        <w:t>B</w:t>
      </w:r>
      <w:r>
        <w:rPr>
          <w:rFonts w:asciiTheme="minorHAnsi" w:hAnsiTheme="minorHAnsi" w:cs="Arial"/>
        </w:rPr>
        <w:t xml:space="preserve">ranchen mit Niedriglöhnen, </w:t>
      </w:r>
      <w:r w:rsidRPr="0076219A">
        <w:rPr>
          <w:rFonts w:asciiTheme="minorHAnsi" w:hAnsiTheme="minorHAnsi" w:cs="Arial"/>
        </w:rPr>
        <w:t xml:space="preserve">prekären Beschäftigungsverhältnissen </w:t>
      </w:r>
      <w:r>
        <w:rPr>
          <w:rFonts w:asciiTheme="minorHAnsi" w:hAnsiTheme="minorHAnsi" w:cs="Arial"/>
        </w:rPr>
        <w:t xml:space="preserve">und geringer Tarifbindung </w:t>
      </w:r>
      <w:r w:rsidRPr="0076219A">
        <w:rPr>
          <w:rFonts w:asciiTheme="minorHAnsi" w:hAnsiTheme="minorHAnsi" w:cs="Arial"/>
        </w:rPr>
        <w:t>sind Betriebsräte kaum vertreten</w:t>
      </w:r>
      <w:r>
        <w:rPr>
          <w:rFonts w:asciiTheme="minorHAnsi" w:hAnsiTheme="minorHAnsi" w:cs="Arial"/>
        </w:rPr>
        <w:t>.</w:t>
      </w:r>
      <w:r w:rsidRPr="0076219A">
        <w:rPr>
          <w:rFonts w:asciiTheme="minorHAnsi" w:hAnsiTheme="minorHAnsi" w:cs="Arial"/>
        </w:rPr>
        <w:t xml:space="preserve"> </w:t>
      </w:r>
      <w:r w:rsidR="00602734" w:rsidRPr="00FC676B">
        <w:rPr>
          <w:rFonts w:asciiTheme="minorHAnsi" w:hAnsiTheme="minorHAnsi" w:cs="Arial"/>
        </w:rPr>
        <w:t>In Betrieben mit Tarifbindung werden 60 Prozent der Beschäftigten von einem Betriebsrat vertreten. In Betrieben ohne Tarifbindung sind es hingegen nur 20 Prozent.</w:t>
      </w:r>
    </w:p>
    <w:p w:rsidR="00602734" w:rsidRDefault="002752F3" w:rsidP="00602734">
      <w:pPr>
        <w:spacing w:after="120" w:line="240" w:lineRule="auto"/>
        <w:jc w:val="both"/>
        <w:rPr>
          <w:rFonts w:asciiTheme="minorHAnsi" w:hAnsiTheme="minorHAnsi" w:cs="Arial"/>
        </w:rPr>
      </w:pPr>
      <w:r w:rsidRPr="0076219A">
        <w:rPr>
          <w:rFonts w:asciiTheme="minorHAnsi" w:hAnsiTheme="minorHAnsi" w:cs="Arial"/>
        </w:rPr>
        <w:t xml:space="preserve">Im </w:t>
      </w:r>
      <w:r w:rsidRPr="00602734">
        <w:rPr>
          <w:rFonts w:asciiTheme="minorHAnsi" w:hAnsiTheme="minorHAnsi" w:cs="Arial"/>
          <w:b/>
        </w:rPr>
        <w:t>Gastgewerbe</w:t>
      </w:r>
      <w:r w:rsidRPr="0076219A">
        <w:rPr>
          <w:rFonts w:asciiTheme="minorHAnsi" w:hAnsiTheme="minorHAnsi" w:cs="Arial"/>
        </w:rPr>
        <w:t xml:space="preserve"> ha</w:t>
      </w:r>
      <w:r>
        <w:rPr>
          <w:rFonts w:asciiTheme="minorHAnsi" w:hAnsiTheme="minorHAnsi" w:cs="Arial"/>
        </w:rPr>
        <w:t>tte</w:t>
      </w:r>
      <w:r w:rsidRPr="0076219A">
        <w:rPr>
          <w:rFonts w:asciiTheme="minorHAnsi" w:hAnsiTheme="minorHAnsi" w:cs="Arial"/>
        </w:rPr>
        <w:t xml:space="preserve"> 2018 nur 3 Prozent de</w:t>
      </w:r>
      <w:r w:rsidR="00602734">
        <w:rPr>
          <w:rFonts w:asciiTheme="minorHAnsi" w:hAnsiTheme="minorHAnsi" w:cs="Arial"/>
        </w:rPr>
        <w:t>r Betriebe einen Betriebsrat. Nur</w:t>
      </w:r>
      <w:r w:rsidRPr="0076219A">
        <w:rPr>
          <w:rFonts w:asciiTheme="minorHAnsi" w:hAnsiTheme="minorHAnsi" w:cs="Arial"/>
        </w:rPr>
        <w:t xml:space="preserve"> 11 Prozent der Beschäftigten in West</w:t>
      </w:r>
      <w:r>
        <w:rPr>
          <w:rFonts w:asciiTheme="minorHAnsi" w:hAnsiTheme="minorHAnsi" w:cs="Arial"/>
        </w:rPr>
        <w:t>-</w:t>
      </w:r>
      <w:r w:rsidRPr="0076219A">
        <w:rPr>
          <w:rFonts w:asciiTheme="minorHAnsi" w:hAnsiTheme="minorHAnsi" w:cs="Arial"/>
        </w:rPr>
        <w:t xml:space="preserve"> und 9 Prozent in Ostdeutschland werden durch einen solchen vertreten. </w:t>
      </w:r>
    </w:p>
    <w:p w:rsidR="00602734" w:rsidRDefault="00602734" w:rsidP="00602734">
      <w:pPr>
        <w:spacing w:after="120" w:line="240" w:lineRule="auto"/>
        <w:jc w:val="both"/>
        <w:rPr>
          <w:rFonts w:asciiTheme="minorHAnsi" w:hAnsiTheme="minorHAnsi" w:cs="Arial"/>
        </w:rPr>
      </w:pPr>
      <w:r>
        <w:rPr>
          <w:rFonts w:asciiTheme="minorHAnsi" w:hAnsiTheme="minorHAnsi" w:cs="Arial"/>
        </w:rPr>
        <w:t xml:space="preserve">Im </w:t>
      </w:r>
      <w:r w:rsidR="002752F3" w:rsidRPr="00602734">
        <w:rPr>
          <w:rFonts w:asciiTheme="minorHAnsi" w:hAnsiTheme="minorHAnsi" w:cs="Arial"/>
          <w:b/>
        </w:rPr>
        <w:t>Baugewerbe</w:t>
      </w:r>
      <w:r>
        <w:rPr>
          <w:rFonts w:asciiTheme="minorHAnsi" w:hAnsiTheme="minorHAnsi" w:cs="Arial"/>
          <w:b/>
        </w:rPr>
        <w:t xml:space="preserve"> </w:t>
      </w:r>
      <w:r w:rsidR="002752F3" w:rsidRPr="0076219A">
        <w:rPr>
          <w:rFonts w:asciiTheme="minorHAnsi" w:hAnsiTheme="minorHAnsi" w:cs="Arial"/>
        </w:rPr>
        <w:t>liegt der Anteil der</w:t>
      </w:r>
      <w:r>
        <w:rPr>
          <w:rFonts w:asciiTheme="minorHAnsi" w:hAnsiTheme="minorHAnsi" w:cs="Arial"/>
        </w:rPr>
        <w:t xml:space="preserve"> Betriebe mit</w:t>
      </w:r>
      <w:r w:rsidR="002752F3" w:rsidRPr="0076219A">
        <w:rPr>
          <w:rFonts w:asciiTheme="minorHAnsi" w:hAnsiTheme="minorHAnsi" w:cs="Arial"/>
        </w:rPr>
        <w:t xml:space="preserve"> Betriebsräte bei nur noch 3 Prozent</w:t>
      </w:r>
      <w:r w:rsidR="002752F3">
        <w:rPr>
          <w:rFonts w:asciiTheme="minorHAnsi" w:hAnsiTheme="minorHAnsi" w:cs="Arial"/>
        </w:rPr>
        <w:t xml:space="preserve"> (halbiert seit</w:t>
      </w:r>
      <w:r w:rsidR="002752F3" w:rsidRPr="0076219A">
        <w:rPr>
          <w:rFonts w:asciiTheme="minorHAnsi" w:hAnsiTheme="minorHAnsi" w:cs="Arial"/>
        </w:rPr>
        <w:t xml:space="preserve"> 2003</w:t>
      </w:r>
      <w:r w:rsidR="002752F3">
        <w:rPr>
          <w:rFonts w:asciiTheme="minorHAnsi" w:hAnsiTheme="minorHAnsi" w:cs="Arial"/>
        </w:rPr>
        <w:t>)</w:t>
      </w:r>
      <w:r>
        <w:rPr>
          <w:rFonts w:asciiTheme="minorHAnsi" w:hAnsiTheme="minorHAnsi" w:cs="Arial"/>
        </w:rPr>
        <w:t xml:space="preserve">. </w:t>
      </w:r>
      <w:r w:rsidR="002752F3" w:rsidRPr="0076219A">
        <w:rPr>
          <w:rFonts w:asciiTheme="minorHAnsi" w:hAnsiTheme="minorHAnsi" w:cs="Arial"/>
        </w:rPr>
        <w:t xml:space="preserve">Wurden 2003 noch </w:t>
      </w:r>
      <w:r w:rsidR="002752F3">
        <w:rPr>
          <w:rFonts w:asciiTheme="minorHAnsi" w:hAnsiTheme="minorHAnsi" w:cs="Arial"/>
        </w:rPr>
        <w:t>ein Viertel</w:t>
      </w:r>
      <w:r w:rsidR="002752F3" w:rsidRPr="0076219A">
        <w:rPr>
          <w:rFonts w:asciiTheme="minorHAnsi" w:hAnsiTheme="minorHAnsi" w:cs="Arial"/>
        </w:rPr>
        <w:t xml:space="preserve"> der Beschäftigten von einem Betriebsrat vertreten, sind es 2018 nur noch 17 Prozent in West</w:t>
      </w:r>
      <w:r w:rsidR="002752F3">
        <w:rPr>
          <w:rFonts w:asciiTheme="minorHAnsi" w:hAnsiTheme="minorHAnsi" w:cs="Arial"/>
        </w:rPr>
        <w:t>-</w:t>
      </w:r>
      <w:r w:rsidR="002752F3" w:rsidRPr="0076219A">
        <w:rPr>
          <w:rFonts w:asciiTheme="minorHAnsi" w:hAnsiTheme="minorHAnsi" w:cs="Arial"/>
        </w:rPr>
        <w:t xml:space="preserve"> und 14 Prozent in Ostdeutschland. </w:t>
      </w:r>
    </w:p>
    <w:p w:rsidR="00602734" w:rsidRDefault="002752F3" w:rsidP="00602734">
      <w:pPr>
        <w:spacing w:after="120" w:line="240" w:lineRule="auto"/>
        <w:jc w:val="both"/>
        <w:rPr>
          <w:rFonts w:asciiTheme="minorHAnsi" w:hAnsiTheme="minorHAnsi" w:cs="Arial"/>
        </w:rPr>
      </w:pPr>
      <w:r w:rsidRPr="00990676">
        <w:rPr>
          <w:rFonts w:asciiTheme="minorHAnsi" w:hAnsiTheme="minorHAnsi" w:cs="Arial"/>
        </w:rPr>
        <w:t xml:space="preserve">Im </w:t>
      </w:r>
      <w:r w:rsidRPr="00602734">
        <w:rPr>
          <w:rFonts w:asciiTheme="minorHAnsi" w:hAnsiTheme="minorHAnsi" w:cs="Arial"/>
          <w:b/>
        </w:rPr>
        <w:t>Handel</w:t>
      </w:r>
      <w:r w:rsidRPr="00990676">
        <w:rPr>
          <w:rFonts w:asciiTheme="minorHAnsi" w:hAnsiTheme="minorHAnsi" w:cs="Arial"/>
        </w:rPr>
        <w:t xml:space="preserve"> liegt der Anteil der Betriebe mit Betriebsrat bei 9 bzw. 8 Prozent (West-/Ostdeutschland). 19 Prozent der Beschäftigten in Ostdeutschland werden durch Betriebsräte vertreten.</w:t>
      </w:r>
      <w:r w:rsidR="00FC676B">
        <w:rPr>
          <w:rFonts w:asciiTheme="minorHAnsi" w:hAnsiTheme="minorHAnsi" w:cs="Arial"/>
        </w:rPr>
        <w:t xml:space="preserve"> </w:t>
      </w:r>
    </w:p>
    <w:p w:rsidR="00FC676B" w:rsidRDefault="00FC676B" w:rsidP="00602734">
      <w:pPr>
        <w:spacing w:after="120" w:line="240" w:lineRule="auto"/>
        <w:jc w:val="both"/>
        <w:rPr>
          <w:rFonts w:asciiTheme="minorHAnsi" w:hAnsiTheme="minorHAnsi" w:cs="Arial"/>
        </w:rPr>
      </w:pPr>
      <w:r>
        <w:rPr>
          <w:rFonts w:asciiTheme="minorHAnsi" w:hAnsiTheme="minorHAnsi" w:cs="Arial"/>
        </w:rPr>
        <w:t xml:space="preserve">In einzelnen Branchen ist die Vertretung durch einen Betriebsrat deutlich höher. Spitzenreiter ist die </w:t>
      </w:r>
      <w:r w:rsidR="00602734">
        <w:rPr>
          <w:rFonts w:asciiTheme="minorHAnsi" w:hAnsiTheme="minorHAnsi" w:cs="Arial"/>
        </w:rPr>
        <w:t xml:space="preserve">Branche </w:t>
      </w:r>
      <w:r w:rsidRPr="00602734">
        <w:rPr>
          <w:rFonts w:asciiTheme="minorHAnsi" w:hAnsiTheme="minorHAnsi" w:cs="Arial"/>
          <w:b/>
        </w:rPr>
        <w:t>Energi</w:t>
      </w:r>
      <w:r w:rsidR="00602734">
        <w:rPr>
          <w:rFonts w:asciiTheme="minorHAnsi" w:hAnsiTheme="minorHAnsi" w:cs="Arial"/>
          <w:b/>
        </w:rPr>
        <w:t>e/Wasser/Abfall/Bergbau</w:t>
      </w:r>
      <w:r>
        <w:rPr>
          <w:rFonts w:asciiTheme="minorHAnsi" w:hAnsiTheme="minorHAnsi" w:cs="Arial"/>
        </w:rPr>
        <w:t xml:space="preserve"> mit einem Anteil </w:t>
      </w:r>
      <w:r w:rsidR="00473F7D">
        <w:rPr>
          <w:rFonts w:asciiTheme="minorHAnsi" w:hAnsiTheme="minorHAnsi" w:cs="Arial"/>
        </w:rPr>
        <w:t xml:space="preserve">der Betriebsräte </w:t>
      </w:r>
      <w:r>
        <w:rPr>
          <w:rFonts w:asciiTheme="minorHAnsi" w:hAnsiTheme="minorHAnsi" w:cs="Arial"/>
        </w:rPr>
        <w:t xml:space="preserve">von 30 Prozent in den neuen und 43 Prozent in den alten Bundesländern. Sie vertreten in den neuen 74 Prozent und in den alten Bundesländern 81 Prozent der Beschäftigten. </w:t>
      </w:r>
    </w:p>
    <w:p w:rsidR="00FC676B" w:rsidRDefault="00FC676B" w:rsidP="002752F3">
      <w:pPr>
        <w:spacing w:after="0" w:line="240" w:lineRule="auto"/>
        <w:jc w:val="both"/>
        <w:rPr>
          <w:rFonts w:asciiTheme="minorHAnsi" w:hAnsiTheme="minorHAnsi" w:cs="Arial"/>
        </w:rPr>
      </w:pPr>
      <w:r>
        <w:rPr>
          <w:rFonts w:asciiTheme="minorHAnsi" w:hAnsiTheme="minorHAnsi" w:cs="Arial"/>
        </w:rPr>
        <w:t xml:space="preserve">       </w:t>
      </w:r>
      <w:r>
        <w:rPr>
          <w:noProof/>
          <w:lang w:eastAsia="de-DE"/>
        </w:rPr>
        <w:drawing>
          <wp:inline distT="0" distB="0" distL="0" distR="0" wp14:anchorId="39CB0E6A" wp14:editId="0339A1DA">
            <wp:extent cx="5277485" cy="2750400"/>
            <wp:effectExtent l="0" t="0" r="18415" b="1206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0EAE" w:rsidRDefault="00B60EAE" w:rsidP="002752F3">
      <w:pPr>
        <w:spacing w:after="0" w:line="240" w:lineRule="auto"/>
        <w:jc w:val="both"/>
        <w:rPr>
          <w:rFonts w:asciiTheme="minorHAnsi" w:hAnsiTheme="minorHAnsi" w:cs="Arial"/>
        </w:rPr>
      </w:pPr>
    </w:p>
    <w:p w:rsidR="00B60EAE" w:rsidRPr="0041475F" w:rsidRDefault="00B60EAE" w:rsidP="00B60EAE">
      <w:pPr>
        <w:spacing w:after="0" w:line="240" w:lineRule="auto"/>
        <w:jc w:val="both"/>
        <w:rPr>
          <w:rFonts w:asciiTheme="minorHAnsi" w:hAnsiTheme="minorHAnsi" w:cs="Arial"/>
        </w:rPr>
      </w:pPr>
      <w:r w:rsidRPr="00FC676B">
        <w:rPr>
          <w:rFonts w:asciiTheme="minorHAnsi" w:hAnsiTheme="minorHAnsi" w:cs="Arial"/>
        </w:rPr>
        <w:t xml:space="preserve">2018 hatten lediglich 9 Prozent der Betriebe in den alten und 10 Prozent der Betriebe in den neuen Bundesländern einen Betriebsrat. </w:t>
      </w:r>
      <w:r w:rsidRPr="00FC676B">
        <w:rPr>
          <w:rFonts w:asciiTheme="minorHAnsi" w:hAnsiTheme="minorHAnsi" w:cs="Arial"/>
          <w:color w:val="000000" w:themeColor="text1"/>
        </w:rPr>
        <w:t xml:space="preserve">Weniger als die Hälfte </w:t>
      </w:r>
      <w:r w:rsidRPr="00FC676B">
        <w:rPr>
          <w:rFonts w:asciiTheme="minorHAnsi" w:hAnsiTheme="minorHAnsi" w:cs="Arial"/>
        </w:rPr>
        <w:t xml:space="preserve">der Beschäftigten in West- und knapp ein Drittel in Ostdeutschland werden durch einen Betriebsrat vertreten. In Bundesländern wie Berlin oder Rheinland-Pfalz hat sich der Anteil der der Betriebe mit Betriebsrat zwischen 2002 und 2018  sogar fast halbiert (-41,7 Prozent). </w:t>
      </w:r>
      <w:r>
        <w:rPr>
          <w:rFonts w:asciiTheme="minorHAnsi" w:hAnsiTheme="minorHAnsi" w:cs="Arial"/>
        </w:rPr>
        <w:t>Arbeitnehmervertreter führen dreimal häufiger ein Beschlussverfahren vor Gericht als Arbeitgebervertreter. Diese</w:t>
      </w:r>
      <w:r w:rsidRPr="00090F14">
        <w:rPr>
          <w:rFonts w:asciiTheme="minorHAnsi" w:hAnsiTheme="minorHAnsi" w:cs="Arial"/>
        </w:rPr>
        <w:t xml:space="preserve"> </w:t>
      </w:r>
      <w:r>
        <w:rPr>
          <w:rFonts w:asciiTheme="minorHAnsi" w:hAnsiTheme="minorHAnsi" w:cs="Arial"/>
        </w:rPr>
        <w:t xml:space="preserve">wurden </w:t>
      </w:r>
      <w:r w:rsidRPr="00090F14">
        <w:rPr>
          <w:rFonts w:asciiTheme="minorHAnsi" w:hAnsiTheme="minorHAnsi" w:cs="Arial"/>
        </w:rPr>
        <w:t>in den alten Bundesländern von 2007 bis 2017 immer seltener</w:t>
      </w:r>
      <w:r>
        <w:rPr>
          <w:rFonts w:asciiTheme="minorHAnsi" w:hAnsiTheme="minorHAnsi" w:cs="Arial"/>
        </w:rPr>
        <w:t xml:space="preserve">, </w:t>
      </w:r>
      <w:r w:rsidRPr="00090F14">
        <w:rPr>
          <w:rFonts w:asciiTheme="minorHAnsi" w:hAnsiTheme="minorHAnsi" w:cs="Arial"/>
        </w:rPr>
        <w:t xml:space="preserve">in den neunen Bundesländern </w:t>
      </w:r>
      <w:r>
        <w:rPr>
          <w:rFonts w:asciiTheme="minorHAnsi" w:hAnsiTheme="minorHAnsi" w:cs="Arial"/>
        </w:rPr>
        <w:t xml:space="preserve">immer öfter </w:t>
      </w:r>
      <w:r w:rsidRPr="00090F14">
        <w:rPr>
          <w:rFonts w:asciiTheme="minorHAnsi" w:hAnsiTheme="minorHAnsi" w:cs="Arial"/>
        </w:rPr>
        <w:t>erstritten.</w:t>
      </w:r>
      <w:r>
        <w:rPr>
          <w:rFonts w:asciiTheme="minorHAnsi" w:hAnsiTheme="minorHAnsi" w:cs="Arial"/>
        </w:rPr>
        <w:t xml:space="preserve"> Spitzenreiter ist Mecklenburg-Vorpommern, wo die erledigten Beschlussverfahren in dem Zeitraum um mehr als das Dreifache angestiegen sind. </w:t>
      </w:r>
    </w:p>
    <w:p w:rsidR="00B60EAE" w:rsidRDefault="00B60EAE" w:rsidP="002752F3">
      <w:pPr>
        <w:spacing w:after="0" w:line="240" w:lineRule="auto"/>
        <w:jc w:val="both"/>
        <w:rPr>
          <w:rFonts w:asciiTheme="minorHAnsi" w:hAnsiTheme="minorHAnsi" w:cs="Arial"/>
        </w:rPr>
      </w:pPr>
    </w:p>
    <w:p w:rsidR="002752F3" w:rsidRPr="00090F14" w:rsidRDefault="002752F3" w:rsidP="002752F3">
      <w:pPr>
        <w:spacing w:after="0" w:line="240" w:lineRule="auto"/>
        <w:jc w:val="both"/>
        <w:rPr>
          <w:rFonts w:asciiTheme="minorHAnsi" w:eastAsia="Arial" w:hAnsiTheme="minorHAnsi" w:cs="Arial"/>
          <w:color w:val="000000"/>
        </w:rPr>
      </w:pPr>
      <w:r w:rsidRPr="00990676">
        <w:rPr>
          <w:rFonts w:asciiTheme="minorHAnsi" w:hAnsiTheme="minorHAnsi" w:cs="Arial"/>
        </w:rPr>
        <w:t>Ein wesentlicher Grund für den Rückgang dürften Maßnahmen der Arbeitgeber sein</w:t>
      </w:r>
      <w:r w:rsidR="0041475F">
        <w:rPr>
          <w:rFonts w:asciiTheme="minorHAnsi" w:hAnsiTheme="minorHAnsi" w:cs="Arial"/>
        </w:rPr>
        <w:t>,</w:t>
      </w:r>
      <w:r>
        <w:rPr>
          <w:rFonts w:asciiTheme="minorHAnsi" w:hAnsiTheme="minorHAnsi" w:cs="Arial"/>
        </w:rPr>
        <w:t xml:space="preserve"> </w:t>
      </w:r>
      <w:r w:rsidRPr="00990676">
        <w:rPr>
          <w:rFonts w:asciiTheme="minorHAnsi" w:hAnsiTheme="minorHAnsi" w:cs="Arial"/>
        </w:rPr>
        <w:t>die darauf abzielen, die Gründung von Betriebsräten zu verhindern. Die Bundesregierung verweist in ihrer Antwort auf eine Studie der Hans-Böckler-Stiftung, nach der ca. 60 Prozent der Gewerkschaftssekretäre Erfahrun</w:t>
      </w:r>
      <w:r w:rsidRPr="00990676">
        <w:rPr>
          <w:rFonts w:asciiTheme="minorHAnsi" w:hAnsiTheme="minorHAnsi" w:cs="Arial"/>
        </w:rPr>
        <w:lastRenderedPageBreak/>
        <w:t xml:space="preserve">gen mit </w:t>
      </w:r>
      <w:r>
        <w:rPr>
          <w:rFonts w:asciiTheme="minorHAnsi" w:hAnsiTheme="minorHAnsi" w:cs="Arial"/>
        </w:rPr>
        <w:t>der B</w:t>
      </w:r>
      <w:r w:rsidRPr="00990676">
        <w:rPr>
          <w:rFonts w:asciiTheme="minorHAnsi" w:hAnsiTheme="minorHAnsi" w:cs="Arial"/>
        </w:rPr>
        <w:t xml:space="preserve">ehinderung </w:t>
      </w:r>
      <w:r>
        <w:rPr>
          <w:rFonts w:asciiTheme="minorHAnsi" w:hAnsiTheme="minorHAnsi" w:cs="Arial"/>
        </w:rPr>
        <w:t xml:space="preserve">von </w:t>
      </w:r>
      <w:r w:rsidRPr="00990676">
        <w:rPr>
          <w:rFonts w:asciiTheme="minorHAnsi" w:hAnsiTheme="minorHAnsi" w:cs="Arial"/>
        </w:rPr>
        <w:t>Betriebsr</w:t>
      </w:r>
      <w:r>
        <w:rPr>
          <w:rFonts w:asciiTheme="minorHAnsi" w:hAnsiTheme="minorHAnsi" w:cs="Arial"/>
        </w:rPr>
        <w:t xml:space="preserve">äten </w:t>
      </w:r>
      <w:r w:rsidRPr="00990676">
        <w:rPr>
          <w:rFonts w:asciiTheme="minorHAnsi" w:hAnsiTheme="minorHAnsi" w:cs="Arial"/>
        </w:rPr>
        <w:t xml:space="preserve">gemacht haben. </w:t>
      </w:r>
      <w:r w:rsidRPr="00090F14">
        <w:rPr>
          <w:rFonts w:asciiTheme="minorHAnsi" w:eastAsia="Arial" w:hAnsiTheme="minorHAnsi" w:cs="Arial"/>
          <w:color w:val="000000"/>
        </w:rPr>
        <w:t xml:space="preserve">Der Bundesregierung liegen nur für Nordrhein-Westfalen Zahlen dazu vor, wie viele Verfahren aufgrund von Verstößen gegen § 119 BetrVG (Straftaten gegen Betriebsverfassungsorgane und ihre Mitglieder) in den letzten 16 Jahren eingeleitet wurden. </w:t>
      </w:r>
      <w:r>
        <w:rPr>
          <w:rFonts w:asciiTheme="minorHAnsi" w:eastAsia="Arial" w:hAnsiTheme="minorHAnsi" w:cs="Arial"/>
          <w:color w:val="000000"/>
        </w:rPr>
        <w:t xml:space="preserve">Hier </w:t>
      </w:r>
      <w:r w:rsidRPr="00090F14">
        <w:rPr>
          <w:rFonts w:asciiTheme="minorHAnsi" w:eastAsia="Arial" w:hAnsiTheme="minorHAnsi" w:cs="Arial"/>
          <w:color w:val="000000"/>
        </w:rPr>
        <w:t>sind in den Jahren von 2015 bis 2017 80 Prozent der Strafverfahren nach § 119 Absa</w:t>
      </w:r>
      <w:r>
        <w:rPr>
          <w:rFonts w:asciiTheme="minorHAnsi" w:eastAsia="Arial" w:hAnsiTheme="minorHAnsi" w:cs="Arial"/>
          <w:color w:val="000000"/>
        </w:rPr>
        <w:t>tz 2 BetrVG eingestellt worden. Um der Behinderung von Betriebsräten und deren Wahl entgegenzuwirken, will die Bundesregierung die Anwendung des vereinfachten Wahlverfahrens ausweiten.</w:t>
      </w:r>
    </w:p>
    <w:p w:rsidR="00C01EA1" w:rsidRDefault="00C01EA1" w:rsidP="00663554">
      <w:pPr>
        <w:spacing w:after="0" w:line="240" w:lineRule="auto"/>
        <w:jc w:val="both"/>
        <w:rPr>
          <w:rFonts w:asciiTheme="minorHAnsi" w:hAnsiTheme="minorHAnsi" w:cs="Arial"/>
          <w:b/>
          <w:u w:val="single"/>
        </w:rPr>
      </w:pPr>
    </w:p>
    <w:p w:rsidR="00663554" w:rsidRPr="00663554" w:rsidRDefault="00663554" w:rsidP="00663554">
      <w:pPr>
        <w:spacing w:after="0" w:line="240" w:lineRule="auto"/>
        <w:jc w:val="both"/>
        <w:rPr>
          <w:rFonts w:asciiTheme="minorHAnsi" w:hAnsiTheme="minorHAnsi" w:cs="Arial"/>
          <w:b/>
          <w:u w:val="single"/>
        </w:rPr>
      </w:pPr>
      <w:r w:rsidRPr="00663554">
        <w:rPr>
          <w:rFonts w:asciiTheme="minorHAnsi" w:hAnsiTheme="minorHAnsi" w:cs="Arial"/>
          <w:b/>
          <w:u w:val="single"/>
        </w:rPr>
        <w:t>O-Ton Jutta Krellmann, MdB, Sprecherin für Mitbestimmung und Arb</w:t>
      </w:r>
      <w:r w:rsidR="0087165F">
        <w:rPr>
          <w:rFonts w:asciiTheme="minorHAnsi" w:hAnsiTheme="minorHAnsi" w:cs="Arial"/>
          <w:b/>
          <w:u w:val="single"/>
        </w:rPr>
        <w:t xml:space="preserve">eit, </w:t>
      </w:r>
      <w:r>
        <w:rPr>
          <w:rFonts w:asciiTheme="minorHAnsi" w:hAnsiTheme="minorHAnsi" w:cs="Arial"/>
          <w:b/>
          <w:u w:val="single"/>
        </w:rPr>
        <w:t>DIE LINKE im Bundestag:</w:t>
      </w:r>
    </w:p>
    <w:p w:rsidR="002752F3" w:rsidRPr="003A01C7" w:rsidRDefault="002752F3" w:rsidP="002752F3">
      <w:pPr>
        <w:spacing w:after="0" w:line="240" w:lineRule="auto"/>
        <w:jc w:val="both"/>
        <w:rPr>
          <w:rFonts w:asciiTheme="minorHAnsi" w:hAnsiTheme="minorHAnsi" w:cs="Arial"/>
          <w:i/>
        </w:rPr>
      </w:pPr>
      <w:r w:rsidRPr="007D4E8C">
        <w:rPr>
          <w:rFonts w:asciiTheme="minorHAnsi" w:hAnsiTheme="minorHAnsi" w:cs="Arial"/>
          <w:i/>
        </w:rPr>
        <w:t>„</w:t>
      </w:r>
      <w:r>
        <w:rPr>
          <w:rFonts w:asciiTheme="minorHAnsi" w:hAnsiTheme="minorHAnsi" w:cs="Arial"/>
          <w:i/>
        </w:rPr>
        <w:t>D</w:t>
      </w:r>
      <w:r w:rsidRPr="007D4E8C">
        <w:rPr>
          <w:rFonts w:asciiTheme="minorHAnsi" w:hAnsiTheme="minorHAnsi" w:cs="Arial"/>
          <w:i/>
        </w:rPr>
        <w:t xml:space="preserve">as vereinfachte Wahlverfahren </w:t>
      </w:r>
      <w:r>
        <w:rPr>
          <w:rFonts w:asciiTheme="minorHAnsi" w:hAnsiTheme="minorHAnsi" w:cs="Arial"/>
          <w:i/>
        </w:rPr>
        <w:t>ist k</w:t>
      </w:r>
      <w:r w:rsidRPr="007D4E8C">
        <w:rPr>
          <w:rFonts w:asciiTheme="minorHAnsi" w:hAnsiTheme="minorHAnsi" w:cs="Arial"/>
          <w:i/>
        </w:rPr>
        <w:t>ein Zaubermittel gegen die Behinderung von Betriebsratswahlen.</w:t>
      </w:r>
      <w:r w:rsidR="00F73D72">
        <w:rPr>
          <w:rFonts w:asciiTheme="minorHAnsi" w:hAnsiTheme="minorHAnsi" w:cs="Arial"/>
          <w:i/>
        </w:rPr>
        <w:t xml:space="preserve"> </w:t>
      </w:r>
      <w:r>
        <w:rPr>
          <w:rFonts w:asciiTheme="minorHAnsi" w:hAnsiTheme="minorHAnsi" w:cs="Arial"/>
          <w:i/>
        </w:rPr>
        <w:t xml:space="preserve">Es ist ein reines Ablenkungsmanöver der Bundesregierung. Betriebsräte und Betriebsratswahlen sind  besser zu schützen. </w:t>
      </w:r>
      <w:r w:rsidR="00C91B54">
        <w:rPr>
          <w:rFonts w:asciiTheme="minorHAnsi" w:hAnsiTheme="minorHAnsi" w:cs="Arial"/>
          <w:i/>
        </w:rPr>
        <w:t xml:space="preserve">Das gilt gerade für Branchen mit prekärer Beschäftigung und Niedriglöhnen. </w:t>
      </w:r>
      <w:r w:rsidRPr="007D4E8C">
        <w:rPr>
          <w:rFonts w:asciiTheme="minorHAnsi" w:hAnsiTheme="minorHAnsi" w:cs="Arial"/>
          <w:i/>
        </w:rPr>
        <w:t>Wir brauchen Schwerpunktstaatsanwaltschaften</w:t>
      </w:r>
      <w:r>
        <w:rPr>
          <w:rFonts w:asciiTheme="minorHAnsi" w:hAnsiTheme="minorHAnsi" w:cs="Arial"/>
          <w:i/>
        </w:rPr>
        <w:t>, die Union Busting</w:t>
      </w:r>
      <w:r w:rsidRPr="007D4E8C">
        <w:rPr>
          <w:rFonts w:asciiTheme="minorHAnsi" w:hAnsiTheme="minorHAnsi" w:cs="Arial"/>
          <w:i/>
        </w:rPr>
        <w:t xml:space="preserve"> verfolgen. </w:t>
      </w:r>
      <w:r>
        <w:rPr>
          <w:rFonts w:asciiTheme="minorHAnsi" w:hAnsiTheme="minorHAnsi" w:cs="Arial"/>
          <w:i/>
        </w:rPr>
        <w:t>Wer Betriebsratswahlen initiiert, muss sich auf einen wirksamen Kündigungsschutz verlassen können</w:t>
      </w:r>
      <w:r w:rsidRPr="007D4E8C">
        <w:rPr>
          <w:rFonts w:asciiTheme="minorHAnsi" w:hAnsiTheme="minorHAnsi" w:cs="Arial"/>
          <w:i/>
        </w:rPr>
        <w:t>. Gute Arbeit geht nur mitbestimmt</w:t>
      </w:r>
      <w:r>
        <w:rPr>
          <w:rFonts w:asciiTheme="minorHAnsi" w:hAnsiTheme="minorHAnsi" w:cs="Arial"/>
          <w:i/>
        </w:rPr>
        <w:t>.</w:t>
      </w:r>
      <w:r w:rsidRPr="007D4E8C">
        <w:rPr>
          <w:rFonts w:asciiTheme="minorHAnsi" w:hAnsiTheme="minorHAnsi" w:cs="Arial"/>
          <w:i/>
        </w:rPr>
        <w:t xml:space="preserve"> </w:t>
      </w:r>
      <w:r>
        <w:rPr>
          <w:rFonts w:asciiTheme="minorHAnsi" w:hAnsiTheme="minorHAnsi" w:cs="Arial"/>
          <w:i/>
        </w:rPr>
        <w:t>Es ist an der Zeit, dass die Bundesregierung liefert.</w:t>
      </w:r>
      <w:r w:rsidRPr="007D4E8C">
        <w:rPr>
          <w:rFonts w:asciiTheme="minorHAnsi" w:hAnsiTheme="minorHAnsi" w:cs="Arial"/>
          <w:i/>
        </w:rPr>
        <w:t>“</w:t>
      </w:r>
      <w:r>
        <w:rPr>
          <w:rFonts w:asciiTheme="minorHAnsi" w:hAnsiTheme="minorHAnsi" w:cs="Arial"/>
          <w:i/>
        </w:rPr>
        <w:t xml:space="preserve"> </w:t>
      </w:r>
    </w:p>
    <w:p w:rsidR="002752F3" w:rsidRPr="009C6795" w:rsidRDefault="002752F3" w:rsidP="007F5854">
      <w:pPr>
        <w:spacing w:after="0" w:line="240" w:lineRule="auto"/>
        <w:jc w:val="both"/>
        <w:rPr>
          <w:rFonts w:asciiTheme="minorHAnsi" w:hAnsiTheme="minorHAnsi" w:cs="Arial"/>
          <w:i/>
        </w:rPr>
      </w:pPr>
    </w:p>
    <w:p w:rsidR="007F5854" w:rsidRPr="00D1490F" w:rsidRDefault="007F5854" w:rsidP="007F5854">
      <w:pPr>
        <w:spacing w:after="0" w:line="240" w:lineRule="auto"/>
        <w:jc w:val="both"/>
        <w:rPr>
          <w:rFonts w:asciiTheme="minorHAnsi" w:hAnsiTheme="minorHAnsi" w:cs="Arial"/>
          <w:b/>
          <w:u w:val="single"/>
        </w:rPr>
      </w:pPr>
      <w:r w:rsidRPr="00D1490F">
        <w:rPr>
          <w:rFonts w:asciiTheme="minorHAnsi" w:hAnsiTheme="minorHAnsi" w:cs="Arial"/>
          <w:b/>
          <w:u w:val="single"/>
        </w:rPr>
        <w:t xml:space="preserve">Ergebnisse im Einzelnen: </w:t>
      </w:r>
    </w:p>
    <w:p w:rsidR="002752F3" w:rsidRPr="002752F3" w:rsidRDefault="002752F3" w:rsidP="00C3279F">
      <w:pPr>
        <w:pStyle w:val="Listenabsatz"/>
        <w:numPr>
          <w:ilvl w:val="0"/>
          <w:numId w:val="1"/>
        </w:numPr>
        <w:spacing w:after="0" w:line="240" w:lineRule="auto"/>
        <w:jc w:val="both"/>
        <w:rPr>
          <w:rFonts w:asciiTheme="minorHAnsi" w:eastAsia="Arial" w:hAnsiTheme="minorHAnsi" w:cs="Arial"/>
          <w:color w:val="000000"/>
        </w:rPr>
      </w:pPr>
      <w:r w:rsidRPr="002752F3">
        <w:rPr>
          <w:rFonts w:eastAsia="Arial"/>
          <w:b/>
          <w:color w:val="000000"/>
        </w:rPr>
        <w:t>Der Anteil der Betriebsräte in Betrieben</w:t>
      </w:r>
      <w:r w:rsidRPr="002752F3">
        <w:rPr>
          <w:rFonts w:eastAsia="Arial"/>
          <w:color w:val="000000"/>
        </w:rPr>
        <w:t>, die die Voraussetzungen nach dem Betriebsverfassungsgesetz erfüllen, lag 2018 bundesweit bei 9 %. Zwischen 2002 und 2018 ist der Anteil der Betriebsräte um 18,2 % gefallen (s. Antwort zur Frage 1 und 2):</w:t>
      </w:r>
    </w:p>
    <w:p w:rsidR="00143E00" w:rsidRPr="002752F3" w:rsidRDefault="002752F3" w:rsidP="00C3279F">
      <w:pPr>
        <w:pStyle w:val="Listenabsatz"/>
        <w:numPr>
          <w:ilvl w:val="1"/>
          <w:numId w:val="1"/>
        </w:numPr>
        <w:spacing w:after="0" w:line="240" w:lineRule="auto"/>
        <w:jc w:val="both"/>
        <w:rPr>
          <w:rFonts w:asciiTheme="minorHAnsi" w:eastAsia="Arial" w:hAnsiTheme="minorHAnsi" w:cs="Arial"/>
          <w:color w:val="000000"/>
        </w:rPr>
      </w:pPr>
      <w:r w:rsidRPr="002752F3">
        <w:rPr>
          <w:rFonts w:asciiTheme="minorHAnsi" w:eastAsia="Arial" w:hAnsiTheme="minorHAnsi" w:cs="Arial"/>
          <w:color w:val="000000"/>
        </w:rPr>
        <w:t>In einzelnen Bundesländern ist der Anteil besonders stark gefallen: Berlin und Rheinland-Pfalz um 41,7 %, Bayern um 36,4 %, Saarland und Sachsen-Anhalt um 25 %</w:t>
      </w:r>
    </w:p>
    <w:p w:rsidR="002752F3" w:rsidRPr="002752F3" w:rsidRDefault="002752F3" w:rsidP="00C3279F">
      <w:pPr>
        <w:pStyle w:val="Listenabsatz"/>
        <w:numPr>
          <w:ilvl w:val="0"/>
          <w:numId w:val="1"/>
        </w:numPr>
        <w:spacing w:after="0" w:line="240" w:lineRule="auto"/>
        <w:jc w:val="both"/>
      </w:pPr>
      <w:r w:rsidRPr="002752F3">
        <w:rPr>
          <w:rFonts w:asciiTheme="minorHAnsi" w:eastAsia="Arial" w:hAnsiTheme="minorHAnsi" w:cs="Arial"/>
          <w:b/>
          <w:color w:val="000000"/>
        </w:rPr>
        <w:t>Der Anteil der Beschäftigten in Betrieben mit einem Betriebsrat</w:t>
      </w:r>
      <w:r w:rsidRPr="002752F3">
        <w:rPr>
          <w:rFonts w:asciiTheme="minorHAnsi" w:eastAsia="Arial" w:hAnsiTheme="minorHAnsi" w:cs="Arial"/>
          <w:color w:val="000000"/>
        </w:rPr>
        <w:t xml:space="preserve"> lag 2018 bundesweit bei 41 %. Zwischen 2002 und 2018 ist der Anteil der Beschäftig</w:t>
      </w:r>
      <w:r w:rsidR="0041475F">
        <w:rPr>
          <w:rFonts w:asciiTheme="minorHAnsi" w:eastAsia="Arial" w:hAnsiTheme="minorHAnsi" w:cs="Arial"/>
          <w:color w:val="000000"/>
        </w:rPr>
        <w:t>t</w:t>
      </w:r>
      <w:r w:rsidRPr="002752F3">
        <w:rPr>
          <w:rFonts w:asciiTheme="minorHAnsi" w:eastAsia="Arial" w:hAnsiTheme="minorHAnsi" w:cs="Arial"/>
          <w:color w:val="000000"/>
        </w:rPr>
        <w:t>en mit einem Betriebsrat um 14,6% gefallen. (s. Antwort zur Frage 1 und 2).</w:t>
      </w:r>
    </w:p>
    <w:p w:rsidR="002752F3" w:rsidRPr="002752F3" w:rsidRDefault="002752F3" w:rsidP="00C3279F">
      <w:pPr>
        <w:pStyle w:val="Listenabsatz"/>
        <w:numPr>
          <w:ilvl w:val="1"/>
          <w:numId w:val="1"/>
        </w:numPr>
        <w:spacing w:after="0" w:line="240" w:lineRule="auto"/>
        <w:jc w:val="both"/>
      </w:pPr>
      <w:r w:rsidRPr="002752F3">
        <w:rPr>
          <w:rFonts w:asciiTheme="minorHAnsi" w:eastAsia="Arial" w:hAnsiTheme="minorHAnsi" w:cs="Arial"/>
          <w:color w:val="000000"/>
        </w:rPr>
        <w:t>Besonders stark ist der Anteil in den alten Bundesländern gefallen: Berlin – 40,8 %, Saarland – 33,3 %, Rheinland-Pfalz -25,5%, Baden-Württemberg – 20 %.</w:t>
      </w:r>
    </w:p>
    <w:p w:rsidR="002752F3" w:rsidRPr="002752F3" w:rsidRDefault="002752F3" w:rsidP="00C3279F">
      <w:pPr>
        <w:pStyle w:val="Listenabsatz"/>
        <w:numPr>
          <w:ilvl w:val="0"/>
          <w:numId w:val="1"/>
        </w:numPr>
        <w:spacing w:after="0" w:line="240" w:lineRule="auto"/>
        <w:jc w:val="both"/>
      </w:pPr>
      <w:r w:rsidRPr="002752F3">
        <w:rPr>
          <w:rFonts w:asciiTheme="minorHAnsi" w:eastAsia="Arial" w:hAnsiTheme="minorHAnsi" w:cs="Arial"/>
          <w:b/>
          <w:color w:val="000000"/>
        </w:rPr>
        <w:t xml:space="preserve">Je kleiner der Betrieb, desto geringer der </w:t>
      </w:r>
      <w:r w:rsidR="00C3279F" w:rsidRPr="002752F3">
        <w:rPr>
          <w:rFonts w:asciiTheme="minorHAnsi" w:eastAsia="Arial" w:hAnsiTheme="minorHAnsi" w:cs="Arial"/>
          <w:b/>
          <w:color w:val="000000"/>
        </w:rPr>
        <w:t>Betriebsräte</w:t>
      </w:r>
      <w:r w:rsidR="00C3279F">
        <w:rPr>
          <w:rFonts w:asciiTheme="minorHAnsi" w:eastAsia="Arial" w:hAnsiTheme="minorHAnsi" w:cs="Arial"/>
          <w:b/>
          <w:color w:val="000000"/>
        </w:rPr>
        <w:t>-</w:t>
      </w:r>
      <w:r w:rsidRPr="002752F3">
        <w:rPr>
          <w:rFonts w:asciiTheme="minorHAnsi" w:eastAsia="Arial" w:hAnsiTheme="minorHAnsi" w:cs="Arial"/>
          <w:b/>
          <w:color w:val="000000"/>
        </w:rPr>
        <w:t xml:space="preserve">Anteil </w:t>
      </w:r>
      <w:r w:rsidRPr="002752F3">
        <w:rPr>
          <w:rFonts w:asciiTheme="minorHAnsi" w:eastAsia="Arial" w:hAnsiTheme="minorHAnsi" w:cs="Arial"/>
          <w:color w:val="000000"/>
        </w:rPr>
        <w:t>(s. Antwort</w:t>
      </w:r>
      <w:r w:rsidR="00C3279F">
        <w:rPr>
          <w:rFonts w:asciiTheme="minorHAnsi" w:eastAsia="Arial" w:hAnsiTheme="minorHAnsi" w:cs="Arial"/>
          <w:color w:val="000000"/>
        </w:rPr>
        <w:t xml:space="preserve"> zur Frage 1 und</w:t>
      </w:r>
      <w:r w:rsidRPr="002752F3">
        <w:rPr>
          <w:rFonts w:asciiTheme="minorHAnsi" w:eastAsia="Arial" w:hAnsiTheme="minorHAnsi" w:cs="Arial"/>
          <w:color w:val="000000"/>
        </w:rPr>
        <w:t xml:space="preserve"> 2)</w:t>
      </w:r>
      <w:r w:rsidRPr="002752F3">
        <w:rPr>
          <w:rFonts w:asciiTheme="minorHAnsi" w:eastAsia="Arial" w:hAnsiTheme="minorHAnsi" w:cs="Arial"/>
          <w:b/>
          <w:color w:val="000000"/>
        </w:rPr>
        <w:t>:</w:t>
      </w:r>
    </w:p>
    <w:p w:rsidR="002752F3" w:rsidRDefault="002752F3" w:rsidP="00C3279F">
      <w:pPr>
        <w:pStyle w:val="Listenabsatz"/>
        <w:numPr>
          <w:ilvl w:val="1"/>
          <w:numId w:val="1"/>
        </w:numPr>
        <w:spacing w:after="0" w:line="240" w:lineRule="auto"/>
        <w:jc w:val="both"/>
      </w:pPr>
      <w:r w:rsidRPr="002752F3">
        <w:rPr>
          <w:rFonts w:asciiTheme="minorHAnsi" w:hAnsiTheme="minorHAnsi" w:cs="Arial"/>
        </w:rPr>
        <w:t xml:space="preserve">5 - 50 Beschäftigte: Westdeutschland 5 %, Ostdeutschland 6 % </w:t>
      </w:r>
    </w:p>
    <w:p w:rsidR="002752F3" w:rsidRDefault="002752F3" w:rsidP="00C3279F">
      <w:pPr>
        <w:pStyle w:val="Listenabsatz"/>
        <w:numPr>
          <w:ilvl w:val="1"/>
          <w:numId w:val="1"/>
        </w:numPr>
        <w:spacing w:after="0" w:line="240" w:lineRule="auto"/>
        <w:jc w:val="both"/>
      </w:pPr>
      <w:r w:rsidRPr="002752F3">
        <w:rPr>
          <w:rFonts w:asciiTheme="minorHAnsi" w:hAnsiTheme="minorHAnsi" w:cs="Arial"/>
        </w:rPr>
        <w:t>51 – 100 Beschäftigte: Westdeutschland  32 %, Ostdeutschland 36 %,</w:t>
      </w:r>
    </w:p>
    <w:p w:rsidR="002752F3" w:rsidRDefault="002752F3" w:rsidP="00C3279F">
      <w:pPr>
        <w:pStyle w:val="Listenabsatz"/>
        <w:numPr>
          <w:ilvl w:val="1"/>
          <w:numId w:val="1"/>
        </w:numPr>
        <w:spacing w:after="0" w:line="240" w:lineRule="auto"/>
        <w:jc w:val="both"/>
      </w:pPr>
      <w:r w:rsidRPr="002752F3">
        <w:rPr>
          <w:rFonts w:asciiTheme="minorHAnsi" w:hAnsiTheme="minorHAnsi" w:cs="Arial"/>
        </w:rPr>
        <w:t>101 – 199 Beschäftigte: Westdeutschland 53 %, Ostdeutschland 45 %</w:t>
      </w:r>
    </w:p>
    <w:p w:rsidR="002752F3" w:rsidRDefault="002752F3" w:rsidP="00C3279F">
      <w:pPr>
        <w:pStyle w:val="Listenabsatz"/>
        <w:numPr>
          <w:ilvl w:val="1"/>
          <w:numId w:val="1"/>
        </w:numPr>
        <w:spacing w:after="0" w:line="240" w:lineRule="auto"/>
        <w:jc w:val="both"/>
      </w:pPr>
      <w:r w:rsidRPr="002752F3">
        <w:rPr>
          <w:rFonts w:asciiTheme="minorHAnsi" w:hAnsiTheme="minorHAnsi" w:cs="Arial"/>
        </w:rPr>
        <w:t>200 – 500 Beschäftigte: Westdeutschland 73 %, Ostdeutschland 69 %</w:t>
      </w:r>
    </w:p>
    <w:p w:rsidR="002752F3" w:rsidRPr="002752F3" w:rsidRDefault="002752F3" w:rsidP="00C3279F">
      <w:pPr>
        <w:pStyle w:val="Listenabsatz"/>
        <w:numPr>
          <w:ilvl w:val="1"/>
          <w:numId w:val="1"/>
        </w:numPr>
        <w:spacing w:after="0" w:line="240" w:lineRule="auto"/>
        <w:jc w:val="both"/>
      </w:pPr>
      <w:r w:rsidRPr="002752F3">
        <w:rPr>
          <w:rFonts w:asciiTheme="minorHAnsi" w:hAnsiTheme="minorHAnsi" w:cs="Arial"/>
        </w:rPr>
        <w:t xml:space="preserve">501 und mehr Beschäftigte: Westdeutschland 87 %, Ostdeutschland 88 % </w:t>
      </w:r>
    </w:p>
    <w:p w:rsidR="002752F3" w:rsidRDefault="002752F3" w:rsidP="00C3279F">
      <w:pPr>
        <w:pStyle w:val="Listenabsatz"/>
        <w:numPr>
          <w:ilvl w:val="0"/>
          <w:numId w:val="2"/>
        </w:numPr>
        <w:spacing w:after="0" w:line="240" w:lineRule="auto"/>
        <w:jc w:val="both"/>
        <w:rPr>
          <w:rFonts w:asciiTheme="minorHAnsi" w:eastAsia="Arial" w:hAnsiTheme="minorHAnsi" w:cs="Arial"/>
          <w:b/>
          <w:color w:val="000000"/>
        </w:rPr>
      </w:pPr>
      <w:r>
        <w:rPr>
          <w:rFonts w:asciiTheme="minorHAnsi" w:eastAsia="Arial" w:hAnsiTheme="minorHAnsi" w:cs="Arial"/>
          <w:b/>
          <w:color w:val="000000"/>
        </w:rPr>
        <w:t xml:space="preserve">Rückgang des Anteils der </w:t>
      </w:r>
      <w:r w:rsidRPr="00E524A4">
        <w:rPr>
          <w:rFonts w:asciiTheme="minorHAnsi" w:eastAsia="Arial" w:hAnsiTheme="minorHAnsi" w:cs="Arial"/>
          <w:b/>
          <w:color w:val="000000"/>
        </w:rPr>
        <w:t>Betriebsr</w:t>
      </w:r>
      <w:r>
        <w:rPr>
          <w:rFonts w:asciiTheme="minorHAnsi" w:eastAsia="Arial" w:hAnsiTheme="minorHAnsi" w:cs="Arial"/>
          <w:b/>
          <w:color w:val="000000"/>
        </w:rPr>
        <w:t xml:space="preserve">äte in Westdeutschland </w:t>
      </w:r>
      <w:r>
        <w:rPr>
          <w:rFonts w:asciiTheme="minorHAnsi" w:eastAsia="Arial" w:hAnsiTheme="minorHAnsi" w:cs="Arial"/>
          <w:color w:val="000000"/>
        </w:rPr>
        <w:t>(s. Antwort zur Frage 1 und 2)</w:t>
      </w:r>
      <w:r w:rsidRPr="00E967EA">
        <w:rPr>
          <w:rFonts w:asciiTheme="minorHAnsi" w:eastAsia="Arial" w:hAnsiTheme="minorHAnsi" w:cs="Arial"/>
          <w:color w:val="000000"/>
        </w:rPr>
        <w:t>:</w:t>
      </w:r>
      <w:r w:rsidRPr="00E524A4">
        <w:rPr>
          <w:rFonts w:asciiTheme="minorHAnsi" w:eastAsia="Arial" w:hAnsiTheme="minorHAnsi" w:cs="Arial"/>
          <w:b/>
          <w:color w:val="000000"/>
        </w:rPr>
        <w:t xml:space="preserve"> </w:t>
      </w:r>
    </w:p>
    <w:p w:rsidR="002752F3" w:rsidRDefault="002752F3" w:rsidP="00C3279F">
      <w:pPr>
        <w:pStyle w:val="Listenabsatz"/>
        <w:numPr>
          <w:ilvl w:val="1"/>
          <w:numId w:val="2"/>
        </w:numPr>
        <w:spacing w:after="0" w:line="240" w:lineRule="auto"/>
        <w:jc w:val="both"/>
        <w:rPr>
          <w:rFonts w:asciiTheme="minorHAnsi" w:eastAsia="Arial" w:hAnsiTheme="minorHAnsi" w:cs="Arial"/>
          <w:b/>
          <w:color w:val="000000"/>
        </w:rPr>
      </w:pPr>
      <w:r w:rsidRPr="002752F3">
        <w:rPr>
          <w:rFonts w:asciiTheme="minorHAnsi" w:hAnsiTheme="minorHAnsi" w:cs="Arial"/>
        </w:rPr>
        <w:t>5 – 50 Beschäftigte: Rückgang um 28,6 %</w:t>
      </w:r>
    </w:p>
    <w:p w:rsidR="002752F3" w:rsidRDefault="002752F3" w:rsidP="00C3279F">
      <w:pPr>
        <w:pStyle w:val="Listenabsatz"/>
        <w:numPr>
          <w:ilvl w:val="1"/>
          <w:numId w:val="2"/>
        </w:numPr>
        <w:spacing w:after="0" w:line="240" w:lineRule="auto"/>
        <w:jc w:val="both"/>
        <w:rPr>
          <w:rFonts w:asciiTheme="minorHAnsi" w:eastAsia="Arial" w:hAnsiTheme="minorHAnsi" w:cs="Arial"/>
          <w:b/>
          <w:color w:val="000000"/>
        </w:rPr>
      </w:pPr>
      <w:r w:rsidRPr="002752F3">
        <w:rPr>
          <w:rFonts w:asciiTheme="minorHAnsi" w:hAnsiTheme="minorHAnsi" w:cs="Arial"/>
        </w:rPr>
        <w:t>51 – 100 Beschäftige: Rückgang um 31,9 %</w:t>
      </w:r>
    </w:p>
    <w:p w:rsidR="002752F3" w:rsidRDefault="002752F3" w:rsidP="00C3279F">
      <w:pPr>
        <w:pStyle w:val="Listenabsatz"/>
        <w:numPr>
          <w:ilvl w:val="1"/>
          <w:numId w:val="2"/>
        </w:numPr>
        <w:spacing w:after="0" w:line="240" w:lineRule="auto"/>
        <w:jc w:val="both"/>
        <w:rPr>
          <w:rFonts w:asciiTheme="minorHAnsi" w:eastAsia="Arial" w:hAnsiTheme="minorHAnsi" w:cs="Arial"/>
          <w:b/>
          <w:color w:val="000000"/>
        </w:rPr>
      </w:pPr>
      <w:r w:rsidRPr="002752F3">
        <w:rPr>
          <w:rFonts w:asciiTheme="minorHAnsi" w:hAnsiTheme="minorHAnsi" w:cs="Arial"/>
        </w:rPr>
        <w:t>101 – 199 Beschäftige: Rückgang um 20,9 %</w:t>
      </w:r>
    </w:p>
    <w:p w:rsidR="002752F3" w:rsidRDefault="002752F3" w:rsidP="00C3279F">
      <w:pPr>
        <w:pStyle w:val="Listenabsatz"/>
        <w:numPr>
          <w:ilvl w:val="1"/>
          <w:numId w:val="2"/>
        </w:numPr>
        <w:spacing w:after="0" w:line="240" w:lineRule="auto"/>
        <w:jc w:val="both"/>
        <w:rPr>
          <w:rFonts w:asciiTheme="minorHAnsi" w:eastAsia="Arial" w:hAnsiTheme="minorHAnsi" w:cs="Arial"/>
          <w:b/>
          <w:color w:val="000000"/>
        </w:rPr>
      </w:pPr>
      <w:r w:rsidRPr="002752F3">
        <w:rPr>
          <w:rFonts w:asciiTheme="minorHAnsi" w:hAnsiTheme="minorHAnsi" w:cs="Arial"/>
        </w:rPr>
        <w:t xml:space="preserve">200 – 500 Beschäftige: Rückgang </w:t>
      </w:r>
      <w:r w:rsidRPr="002752F3">
        <w:rPr>
          <w:rFonts w:asciiTheme="minorHAnsi" w:eastAsia="Arial" w:hAnsiTheme="minorHAnsi" w:cs="Arial"/>
          <w:color w:val="000000"/>
        </w:rPr>
        <w:t>um 11%</w:t>
      </w:r>
    </w:p>
    <w:p w:rsidR="002752F3" w:rsidRPr="002752F3" w:rsidRDefault="002752F3" w:rsidP="00C3279F">
      <w:pPr>
        <w:pStyle w:val="Listenabsatz"/>
        <w:numPr>
          <w:ilvl w:val="1"/>
          <w:numId w:val="2"/>
        </w:numPr>
        <w:spacing w:after="0" w:line="240" w:lineRule="auto"/>
        <w:jc w:val="both"/>
        <w:rPr>
          <w:rFonts w:asciiTheme="minorHAnsi" w:eastAsia="Arial" w:hAnsiTheme="minorHAnsi" w:cs="Arial"/>
          <w:b/>
          <w:color w:val="000000"/>
        </w:rPr>
      </w:pPr>
      <w:r w:rsidRPr="002752F3">
        <w:rPr>
          <w:rFonts w:asciiTheme="minorHAnsi" w:hAnsiTheme="minorHAnsi" w:cs="Arial"/>
        </w:rPr>
        <w:t xml:space="preserve">501 und mehr Beschäftigte: Rückgang -4,4 % </w:t>
      </w:r>
    </w:p>
    <w:p w:rsidR="002752F3" w:rsidRDefault="002752F3" w:rsidP="00C3279F">
      <w:pPr>
        <w:pStyle w:val="Listenabsatz"/>
        <w:numPr>
          <w:ilvl w:val="0"/>
          <w:numId w:val="2"/>
        </w:numPr>
        <w:spacing w:after="0" w:line="240" w:lineRule="auto"/>
        <w:jc w:val="both"/>
        <w:rPr>
          <w:rFonts w:asciiTheme="minorHAnsi" w:eastAsia="Arial" w:hAnsiTheme="minorHAnsi" w:cs="Arial"/>
          <w:b/>
          <w:color w:val="000000"/>
        </w:rPr>
      </w:pPr>
      <w:r>
        <w:rPr>
          <w:rFonts w:asciiTheme="minorHAnsi" w:eastAsia="Arial" w:hAnsiTheme="minorHAnsi" w:cs="Arial"/>
          <w:b/>
          <w:color w:val="000000"/>
        </w:rPr>
        <w:t>Rückgang des Anteils der Betriebsräte in</w:t>
      </w:r>
      <w:r w:rsidRPr="00A42846">
        <w:rPr>
          <w:rFonts w:asciiTheme="minorHAnsi" w:eastAsia="Arial" w:hAnsiTheme="minorHAnsi" w:cs="Arial"/>
          <w:b/>
          <w:color w:val="000000"/>
        </w:rPr>
        <w:t xml:space="preserve"> Ostdeutschland</w:t>
      </w:r>
      <w:r>
        <w:rPr>
          <w:rFonts w:asciiTheme="minorHAnsi" w:eastAsia="Arial" w:hAnsiTheme="minorHAnsi" w:cs="Arial"/>
          <w:b/>
          <w:color w:val="000000"/>
        </w:rPr>
        <w:t xml:space="preserve"> </w:t>
      </w:r>
      <w:r>
        <w:rPr>
          <w:rFonts w:asciiTheme="minorHAnsi" w:eastAsia="Arial" w:hAnsiTheme="minorHAnsi" w:cs="Arial"/>
          <w:color w:val="000000"/>
        </w:rPr>
        <w:t>(s. Antwort zur Frage 1 und 2)</w:t>
      </w:r>
      <w:r w:rsidRPr="00E967EA">
        <w:rPr>
          <w:rFonts w:asciiTheme="minorHAnsi" w:eastAsia="Arial" w:hAnsiTheme="minorHAnsi" w:cs="Arial"/>
          <w:color w:val="000000"/>
        </w:rPr>
        <w:t>:</w:t>
      </w:r>
    </w:p>
    <w:p w:rsidR="002752F3" w:rsidRDefault="002752F3" w:rsidP="00C3279F">
      <w:pPr>
        <w:pStyle w:val="Listenabsatz"/>
        <w:numPr>
          <w:ilvl w:val="1"/>
          <w:numId w:val="2"/>
        </w:numPr>
        <w:spacing w:after="0" w:line="240" w:lineRule="auto"/>
        <w:jc w:val="both"/>
        <w:rPr>
          <w:rFonts w:asciiTheme="minorHAnsi" w:eastAsia="Arial" w:hAnsiTheme="minorHAnsi" w:cs="Arial"/>
          <w:b/>
          <w:color w:val="000000"/>
        </w:rPr>
      </w:pPr>
      <w:r w:rsidRPr="002752F3">
        <w:rPr>
          <w:rFonts w:asciiTheme="minorHAnsi" w:hAnsiTheme="minorHAnsi" w:cs="Arial"/>
        </w:rPr>
        <w:t>5 – 50 Beschäftigte: Rückgang um 14,3%</w:t>
      </w:r>
    </w:p>
    <w:p w:rsidR="002752F3" w:rsidRDefault="002752F3" w:rsidP="00C3279F">
      <w:pPr>
        <w:pStyle w:val="Listenabsatz"/>
        <w:numPr>
          <w:ilvl w:val="1"/>
          <w:numId w:val="2"/>
        </w:numPr>
        <w:spacing w:after="0" w:line="240" w:lineRule="auto"/>
        <w:jc w:val="both"/>
        <w:rPr>
          <w:rFonts w:asciiTheme="minorHAnsi" w:eastAsia="Arial" w:hAnsiTheme="minorHAnsi" w:cs="Arial"/>
          <w:b/>
          <w:color w:val="000000"/>
        </w:rPr>
      </w:pPr>
      <w:r w:rsidRPr="002752F3">
        <w:rPr>
          <w:rFonts w:asciiTheme="minorHAnsi" w:hAnsiTheme="minorHAnsi" w:cs="Arial"/>
        </w:rPr>
        <w:t>51 – 100 Beschäftige: Rückgang um 20 %</w:t>
      </w:r>
    </w:p>
    <w:p w:rsidR="002752F3" w:rsidRDefault="002752F3" w:rsidP="00C3279F">
      <w:pPr>
        <w:pStyle w:val="Listenabsatz"/>
        <w:numPr>
          <w:ilvl w:val="1"/>
          <w:numId w:val="2"/>
        </w:numPr>
        <w:spacing w:after="0" w:line="240" w:lineRule="auto"/>
        <w:jc w:val="both"/>
        <w:rPr>
          <w:rFonts w:asciiTheme="minorHAnsi" w:eastAsia="Arial" w:hAnsiTheme="minorHAnsi" w:cs="Arial"/>
          <w:b/>
          <w:color w:val="000000"/>
        </w:rPr>
      </w:pPr>
      <w:r w:rsidRPr="002752F3">
        <w:rPr>
          <w:rFonts w:asciiTheme="minorHAnsi" w:hAnsiTheme="minorHAnsi" w:cs="Arial"/>
        </w:rPr>
        <w:t>101 – 199 Beschäftige: Rückgang um 34,8 %</w:t>
      </w:r>
    </w:p>
    <w:p w:rsidR="002752F3" w:rsidRDefault="002752F3" w:rsidP="00C3279F">
      <w:pPr>
        <w:pStyle w:val="Listenabsatz"/>
        <w:numPr>
          <w:ilvl w:val="1"/>
          <w:numId w:val="2"/>
        </w:numPr>
        <w:spacing w:after="0" w:line="240" w:lineRule="auto"/>
        <w:jc w:val="both"/>
        <w:rPr>
          <w:rFonts w:asciiTheme="minorHAnsi" w:eastAsia="Arial" w:hAnsiTheme="minorHAnsi" w:cs="Arial"/>
          <w:b/>
          <w:color w:val="000000"/>
        </w:rPr>
      </w:pPr>
      <w:r w:rsidRPr="002752F3">
        <w:rPr>
          <w:rFonts w:asciiTheme="minorHAnsi" w:hAnsiTheme="minorHAnsi" w:cs="Arial"/>
        </w:rPr>
        <w:t>200 – 500 Beschäftige: Rückgang um 9,2 %</w:t>
      </w:r>
    </w:p>
    <w:p w:rsidR="002752F3" w:rsidRPr="000903F5" w:rsidRDefault="002752F3" w:rsidP="00C3279F">
      <w:pPr>
        <w:pStyle w:val="Listenabsatz"/>
        <w:numPr>
          <w:ilvl w:val="1"/>
          <w:numId w:val="2"/>
        </w:numPr>
        <w:spacing w:after="0" w:line="240" w:lineRule="auto"/>
        <w:jc w:val="both"/>
        <w:rPr>
          <w:rFonts w:asciiTheme="minorHAnsi" w:eastAsia="Arial" w:hAnsiTheme="minorHAnsi" w:cs="Arial"/>
          <w:b/>
          <w:color w:val="000000"/>
        </w:rPr>
      </w:pPr>
      <w:r w:rsidRPr="002752F3">
        <w:rPr>
          <w:rFonts w:asciiTheme="minorHAnsi" w:hAnsiTheme="minorHAnsi" w:cs="Arial"/>
        </w:rPr>
        <w:t xml:space="preserve">501 und mehr Beschäftige: Steigerung um 7,3 % </w:t>
      </w:r>
    </w:p>
    <w:p w:rsidR="000903F5" w:rsidRDefault="000903F5" w:rsidP="000903F5">
      <w:pPr>
        <w:spacing w:after="0" w:line="240" w:lineRule="auto"/>
        <w:jc w:val="both"/>
        <w:rPr>
          <w:rFonts w:asciiTheme="minorHAnsi" w:eastAsia="Arial" w:hAnsiTheme="minorHAnsi" w:cs="Arial"/>
          <w:b/>
          <w:color w:val="000000"/>
        </w:rPr>
      </w:pPr>
    </w:p>
    <w:p w:rsidR="000903F5" w:rsidRDefault="000903F5" w:rsidP="000903F5">
      <w:pPr>
        <w:spacing w:after="0" w:line="240" w:lineRule="auto"/>
        <w:jc w:val="both"/>
        <w:rPr>
          <w:rFonts w:asciiTheme="minorHAnsi" w:eastAsia="Arial" w:hAnsiTheme="minorHAnsi" w:cs="Arial"/>
          <w:b/>
          <w:color w:val="000000"/>
        </w:rPr>
      </w:pPr>
    </w:p>
    <w:p w:rsidR="000903F5" w:rsidRDefault="000903F5" w:rsidP="000903F5">
      <w:pPr>
        <w:spacing w:after="0" w:line="240" w:lineRule="auto"/>
        <w:jc w:val="both"/>
        <w:rPr>
          <w:rFonts w:asciiTheme="minorHAnsi" w:eastAsia="Arial" w:hAnsiTheme="minorHAnsi" w:cs="Arial"/>
          <w:b/>
          <w:color w:val="000000"/>
        </w:rPr>
      </w:pPr>
    </w:p>
    <w:p w:rsidR="000903F5" w:rsidRDefault="000903F5" w:rsidP="000903F5">
      <w:pPr>
        <w:spacing w:after="0" w:line="240" w:lineRule="auto"/>
        <w:jc w:val="both"/>
        <w:rPr>
          <w:rFonts w:asciiTheme="minorHAnsi" w:eastAsia="Arial" w:hAnsiTheme="minorHAnsi" w:cs="Arial"/>
          <w:b/>
          <w:color w:val="000000"/>
        </w:rPr>
      </w:pPr>
    </w:p>
    <w:p w:rsidR="000903F5" w:rsidRPr="000903F5" w:rsidRDefault="000903F5" w:rsidP="000903F5">
      <w:pPr>
        <w:spacing w:after="0" w:line="240" w:lineRule="auto"/>
        <w:jc w:val="both"/>
        <w:rPr>
          <w:rFonts w:asciiTheme="minorHAnsi" w:eastAsia="Arial" w:hAnsiTheme="minorHAnsi" w:cs="Arial"/>
          <w:b/>
          <w:color w:val="000000"/>
        </w:rPr>
      </w:pPr>
    </w:p>
    <w:p w:rsidR="00AE770D" w:rsidRPr="00C3279F" w:rsidRDefault="00C3279F" w:rsidP="00C3279F">
      <w:pPr>
        <w:pStyle w:val="Listenabsatz"/>
        <w:numPr>
          <w:ilvl w:val="0"/>
          <w:numId w:val="3"/>
        </w:numPr>
        <w:spacing w:after="0" w:line="240" w:lineRule="auto"/>
        <w:jc w:val="both"/>
        <w:rPr>
          <w:rFonts w:asciiTheme="minorHAnsi" w:eastAsia="Arial" w:hAnsiTheme="minorHAnsi" w:cs="Arial"/>
          <w:color w:val="000000"/>
        </w:rPr>
      </w:pPr>
      <w:r>
        <w:rPr>
          <w:rFonts w:asciiTheme="minorHAnsi" w:eastAsia="Arial" w:hAnsiTheme="minorHAnsi" w:cs="Arial"/>
          <w:b/>
          <w:color w:val="000000"/>
        </w:rPr>
        <w:t>Betriebsräte-</w:t>
      </w:r>
      <w:r w:rsidR="002752F3" w:rsidRPr="00A42846">
        <w:rPr>
          <w:rFonts w:asciiTheme="minorHAnsi" w:eastAsia="Arial" w:hAnsiTheme="minorHAnsi" w:cs="Arial"/>
          <w:b/>
          <w:color w:val="000000"/>
        </w:rPr>
        <w:t xml:space="preserve">Anteil in Betrieben </w:t>
      </w:r>
      <w:r>
        <w:rPr>
          <w:rFonts w:asciiTheme="minorHAnsi" w:eastAsia="Arial" w:hAnsiTheme="minorHAnsi" w:cs="Arial"/>
          <w:b/>
          <w:color w:val="000000"/>
        </w:rPr>
        <w:t>in</w:t>
      </w:r>
      <w:r w:rsidR="002752F3" w:rsidRPr="00A42846">
        <w:rPr>
          <w:rFonts w:asciiTheme="minorHAnsi" w:eastAsia="Arial" w:hAnsiTheme="minorHAnsi" w:cs="Arial"/>
          <w:b/>
          <w:color w:val="000000"/>
        </w:rPr>
        <w:t xml:space="preserve"> Wirtschaftszweig</w:t>
      </w:r>
      <w:r>
        <w:rPr>
          <w:rFonts w:asciiTheme="minorHAnsi" w:eastAsia="Arial" w:hAnsiTheme="minorHAnsi" w:cs="Arial"/>
          <w:b/>
          <w:color w:val="000000"/>
        </w:rPr>
        <w:t>en</w:t>
      </w:r>
      <w:r w:rsidR="002752F3" w:rsidRPr="00A42846">
        <w:rPr>
          <w:rFonts w:asciiTheme="minorHAnsi" w:eastAsia="Arial" w:hAnsiTheme="minorHAnsi" w:cs="Arial"/>
          <w:b/>
          <w:color w:val="000000"/>
        </w:rPr>
        <w:t xml:space="preserve"> </w:t>
      </w:r>
      <w:r w:rsidR="000903F5">
        <w:rPr>
          <w:rFonts w:asciiTheme="minorHAnsi" w:eastAsia="Arial" w:hAnsiTheme="minorHAnsi" w:cs="Arial"/>
          <w:b/>
          <w:color w:val="000000"/>
        </w:rPr>
        <w:t xml:space="preserve">2018 </w:t>
      </w:r>
      <w:bookmarkStart w:id="0" w:name="_GoBack"/>
      <w:bookmarkEnd w:id="0"/>
      <w:r w:rsidR="002752F3">
        <w:rPr>
          <w:rFonts w:asciiTheme="minorHAnsi" w:eastAsia="Arial" w:hAnsiTheme="minorHAnsi" w:cs="Arial"/>
          <w:color w:val="000000"/>
        </w:rPr>
        <w:t>(s. Antwort zu Frage 1 und</w:t>
      </w:r>
      <w:r w:rsidR="002752F3" w:rsidRPr="00E57B08">
        <w:rPr>
          <w:rFonts w:asciiTheme="minorHAnsi" w:eastAsia="Arial" w:hAnsiTheme="minorHAnsi" w:cs="Arial"/>
          <w:color w:val="000000"/>
        </w:rPr>
        <w:t xml:space="preserve"> 2):</w:t>
      </w:r>
    </w:p>
    <w:tbl>
      <w:tblPr>
        <w:tblW w:w="9643" w:type="dxa"/>
        <w:tblInd w:w="-5" w:type="dxa"/>
        <w:tblCellMar>
          <w:left w:w="70" w:type="dxa"/>
          <w:right w:w="70" w:type="dxa"/>
        </w:tblCellMar>
        <w:tblLook w:val="04A0" w:firstRow="1" w:lastRow="0" w:firstColumn="1" w:lastColumn="0" w:noHBand="0" w:noVBand="1"/>
      </w:tblPr>
      <w:tblGrid>
        <w:gridCol w:w="964"/>
        <w:gridCol w:w="692"/>
        <w:gridCol w:w="734"/>
        <w:gridCol w:w="709"/>
        <w:gridCol w:w="601"/>
        <w:gridCol w:w="721"/>
        <w:gridCol w:w="1012"/>
        <w:gridCol w:w="707"/>
        <w:gridCol w:w="744"/>
        <w:gridCol w:w="890"/>
        <w:gridCol w:w="1051"/>
        <w:gridCol w:w="818"/>
      </w:tblGrid>
      <w:tr w:rsidR="002752F3" w:rsidRPr="006D1C5A" w:rsidTr="006815D1">
        <w:trPr>
          <w:trHeight w:val="281"/>
        </w:trPr>
        <w:tc>
          <w:tcPr>
            <w:tcW w:w="9643" w:type="dxa"/>
            <w:gridSpan w:val="12"/>
            <w:tcBorders>
              <w:top w:val="single" w:sz="4" w:space="0" w:color="auto"/>
              <w:left w:val="single" w:sz="4" w:space="0" w:color="auto"/>
              <w:bottom w:val="nil"/>
              <w:right w:val="single" w:sz="4" w:space="0" w:color="000000"/>
            </w:tcBorders>
            <w:shd w:val="clear" w:color="auto" w:fill="auto"/>
            <w:noWrap/>
            <w:vAlign w:val="center"/>
            <w:hideMark/>
          </w:tcPr>
          <w:p w:rsidR="002752F3" w:rsidRPr="006D1C5A" w:rsidRDefault="002752F3" w:rsidP="006815D1">
            <w:pPr>
              <w:spacing w:after="0" w:line="240" w:lineRule="auto"/>
              <w:jc w:val="center"/>
              <w:rPr>
                <w:rFonts w:eastAsia="Times New Roman" w:cs="Calibri"/>
                <w:b/>
                <w:bCs/>
                <w:color w:val="000000"/>
                <w:sz w:val="16"/>
                <w:szCs w:val="16"/>
                <w:lang w:eastAsia="de-DE"/>
              </w:rPr>
            </w:pPr>
            <w:r w:rsidRPr="006D1C5A">
              <w:rPr>
                <w:rFonts w:eastAsia="Times New Roman" w:cs="Calibri"/>
                <w:b/>
                <w:bCs/>
                <w:sz w:val="16"/>
                <w:szCs w:val="16"/>
                <w:lang w:eastAsia="de-DE"/>
              </w:rPr>
              <w:t>Wirtschaftszweige</w:t>
            </w:r>
          </w:p>
        </w:tc>
      </w:tr>
      <w:tr w:rsidR="002752F3" w:rsidRPr="006D1C5A" w:rsidTr="006815D1">
        <w:trPr>
          <w:trHeight w:val="617"/>
        </w:trPr>
        <w:tc>
          <w:tcPr>
            <w:tcW w:w="964" w:type="dxa"/>
            <w:tcBorders>
              <w:top w:val="single" w:sz="4" w:space="0" w:color="auto"/>
              <w:left w:val="single" w:sz="4" w:space="0" w:color="auto"/>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b/>
                <w:bCs/>
                <w:color w:val="000000"/>
                <w:sz w:val="16"/>
                <w:szCs w:val="16"/>
                <w:lang w:eastAsia="de-DE"/>
              </w:rPr>
            </w:pPr>
            <w:r w:rsidRPr="006D1C5A">
              <w:rPr>
                <w:rFonts w:eastAsia="Times New Roman" w:cs="Calibri"/>
                <w:b/>
                <w:bCs/>
                <w:sz w:val="16"/>
                <w:szCs w:val="16"/>
                <w:lang w:eastAsia="de-DE"/>
              </w:rPr>
              <w:t>Anteil in %</w:t>
            </w:r>
          </w:p>
        </w:tc>
        <w:tc>
          <w:tcPr>
            <w:tcW w:w="692" w:type="dxa"/>
            <w:tcBorders>
              <w:top w:val="single" w:sz="4" w:space="0" w:color="auto"/>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sz w:val="16"/>
                <w:szCs w:val="16"/>
                <w:lang w:eastAsia="de-DE"/>
              </w:rPr>
            </w:pPr>
            <w:r w:rsidRPr="006D1C5A">
              <w:rPr>
                <w:rFonts w:eastAsia="Times New Roman" w:cs="Calibri"/>
                <w:sz w:val="16"/>
                <w:szCs w:val="16"/>
                <w:lang w:eastAsia="de-DE"/>
              </w:rPr>
              <w:t>Energie/</w:t>
            </w:r>
            <w:r w:rsidRPr="006D1C5A">
              <w:rPr>
                <w:rFonts w:eastAsia="Times New Roman" w:cs="Calibri"/>
                <w:sz w:val="16"/>
                <w:szCs w:val="16"/>
                <w:lang w:eastAsia="de-DE"/>
              </w:rPr>
              <w:br/>
              <w:t>Wasser/ Abfall</w:t>
            </w:r>
            <w:r w:rsidRPr="006D1C5A">
              <w:rPr>
                <w:rFonts w:eastAsia="Times New Roman" w:cs="Calibri"/>
                <w:sz w:val="16"/>
                <w:szCs w:val="16"/>
                <w:lang w:eastAsia="de-DE"/>
              </w:rPr>
              <w:br/>
              <w:t>Bergbau</w:t>
            </w:r>
          </w:p>
        </w:tc>
        <w:tc>
          <w:tcPr>
            <w:tcW w:w="734" w:type="dxa"/>
            <w:tcBorders>
              <w:top w:val="single" w:sz="4" w:space="0" w:color="auto"/>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sz w:val="16"/>
                <w:szCs w:val="16"/>
                <w:lang w:eastAsia="de-DE"/>
              </w:rPr>
              <w:t>Verarb. Gewerbe</w:t>
            </w:r>
          </w:p>
        </w:tc>
        <w:tc>
          <w:tcPr>
            <w:tcW w:w="709" w:type="dxa"/>
            <w:tcBorders>
              <w:top w:val="single" w:sz="4" w:space="0" w:color="auto"/>
              <w:left w:val="nil"/>
              <w:bottom w:val="single" w:sz="4" w:space="0" w:color="auto"/>
              <w:right w:val="nil"/>
            </w:tcBorders>
            <w:shd w:val="clear" w:color="auto" w:fill="auto"/>
            <w:vAlign w:val="center"/>
            <w:hideMark/>
          </w:tcPr>
          <w:p w:rsidR="002752F3" w:rsidRPr="006D1C5A" w:rsidRDefault="0041475F" w:rsidP="006815D1">
            <w:pPr>
              <w:spacing w:after="0" w:line="240" w:lineRule="auto"/>
              <w:jc w:val="center"/>
              <w:rPr>
                <w:rFonts w:eastAsia="Times New Roman" w:cs="Calibri"/>
                <w:color w:val="000000"/>
                <w:sz w:val="16"/>
                <w:szCs w:val="16"/>
                <w:lang w:eastAsia="de-DE"/>
              </w:rPr>
            </w:pPr>
            <w:r>
              <w:rPr>
                <w:rFonts w:eastAsia="Times New Roman" w:cs="Calibri"/>
                <w:sz w:val="16"/>
                <w:szCs w:val="16"/>
                <w:lang w:eastAsia="de-DE"/>
              </w:rPr>
              <w:t>Bau</w:t>
            </w:r>
            <w:r w:rsidR="002752F3" w:rsidRPr="006D1C5A">
              <w:rPr>
                <w:rFonts w:eastAsia="Times New Roman" w:cs="Calibri"/>
                <w:sz w:val="16"/>
                <w:szCs w:val="16"/>
                <w:lang w:eastAsia="de-DE"/>
              </w:rPr>
              <w:t>gewerbe</w:t>
            </w:r>
          </w:p>
        </w:tc>
        <w:tc>
          <w:tcPr>
            <w:tcW w:w="601" w:type="dxa"/>
            <w:tcBorders>
              <w:top w:val="single" w:sz="4" w:space="0" w:color="auto"/>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sz w:val="16"/>
                <w:szCs w:val="16"/>
                <w:lang w:eastAsia="de-DE"/>
              </w:rPr>
              <w:t>Handel</w:t>
            </w:r>
          </w:p>
        </w:tc>
        <w:tc>
          <w:tcPr>
            <w:tcW w:w="721" w:type="dxa"/>
            <w:tcBorders>
              <w:top w:val="single" w:sz="4" w:space="0" w:color="auto"/>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Verkehr/ Lagerei</w:t>
            </w:r>
          </w:p>
        </w:tc>
        <w:tc>
          <w:tcPr>
            <w:tcW w:w="1012" w:type="dxa"/>
            <w:tcBorders>
              <w:top w:val="single" w:sz="4" w:space="0" w:color="auto"/>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sz w:val="16"/>
                <w:szCs w:val="16"/>
                <w:lang w:eastAsia="de-DE"/>
              </w:rPr>
            </w:pPr>
            <w:r w:rsidRPr="006D1C5A">
              <w:rPr>
                <w:rFonts w:eastAsia="Times New Roman" w:cs="Calibri"/>
                <w:sz w:val="16"/>
                <w:szCs w:val="16"/>
                <w:lang w:eastAsia="de-DE"/>
              </w:rPr>
              <w:t>Informat./</w:t>
            </w:r>
            <w:r w:rsidRPr="006D1C5A">
              <w:rPr>
                <w:rFonts w:eastAsia="Times New Roman" w:cs="Calibri"/>
                <w:sz w:val="16"/>
                <w:szCs w:val="16"/>
                <w:lang w:eastAsia="de-DE"/>
              </w:rPr>
              <w:br/>
              <w:t>Kommunikat.</w:t>
            </w:r>
          </w:p>
        </w:tc>
        <w:tc>
          <w:tcPr>
            <w:tcW w:w="707" w:type="dxa"/>
            <w:tcBorders>
              <w:top w:val="single" w:sz="4" w:space="0" w:color="auto"/>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sz w:val="16"/>
                <w:szCs w:val="16"/>
                <w:lang w:eastAsia="de-DE"/>
              </w:rPr>
              <w:t>Finanz-/</w:t>
            </w:r>
            <w:r w:rsidRPr="006D1C5A">
              <w:rPr>
                <w:rFonts w:eastAsia="Times New Roman" w:cs="Calibri"/>
                <w:sz w:val="16"/>
                <w:szCs w:val="16"/>
                <w:lang w:eastAsia="de-DE"/>
              </w:rPr>
              <w:br/>
              <w:t>Versich.-</w:t>
            </w:r>
            <w:r w:rsidRPr="006D1C5A">
              <w:rPr>
                <w:rFonts w:eastAsia="Times New Roman" w:cs="Calibri"/>
                <w:sz w:val="16"/>
                <w:szCs w:val="16"/>
                <w:lang w:eastAsia="de-DE"/>
              </w:rPr>
              <w:br/>
              <w:t>DL</w:t>
            </w:r>
          </w:p>
        </w:tc>
        <w:tc>
          <w:tcPr>
            <w:tcW w:w="744" w:type="dxa"/>
            <w:tcBorders>
              <w:top w:val="single" w:sz="4" w:space="0" w:color="auto"/>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sz w:val="16"/>
                <w:szCs w:val="16"/>
                <w:lang w:eastAsia="de-DE"/>
              </w:rPr>
              <w:t>Gastgew.</w:t>
            </w:r>
            <w:r w:rsidRPr="006D1C5A">
              <w:rPr>
                <w:rFonts w:eastAsia="Times New Roman" w:cs="Calibri"/>
                <w:sz w:val="16"/>
                <w:szCs w:val="16"/>
                <w:lang w:eastAsia="de-DE"/>
              </w:rPr>
              <w:br/>
              <w:t>sonst.</w:t>
            </w:r>
            <w:r w:rsidRPr="006D1C5A">
              <w:rPr>
                <w:rFonts w:eastAsia="Times New Roman" w:cs="Calibri"/>
                <w:sz w:val="16"/>
                <w:szCs w:val="16"/>
                <w:lang w:eastAsia="de-DE"/>
              </w:rPr>
              <w:br/>
              <w:t>DL</w:t>
            </w:r>
          </w:p>
        </w:tc>
        <w:tc>
          <w:tcPr>
            <w:tcW w:w="890" w:type="dxa"/>
            <w:tcBorders>
              <w:top w:val="single" w:sz="4" w:space="0" w:color="auto"/>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sz w:val="16"/>
                <w:szCs w:val="16"/>
                <w:lang w:eastAsia="de-DE"/>
              </w:rPr>
              <w:t>Gesundheit</w:t>
            </w:r>
            <w:r w:rsidRPr="006D1C5A">
              <w:rPr>
                <w:rFonts w:eastAsia="Times New Roman" w:cs="Calibri"/>
                <w:sz w:val="16"/>
                <w:szCs w:val="16"/>
                <w:lang w:eastAsia="de-DE"/>
              </w:rPr>
              <w:br/>
              <w:t>Erziehung/</w:t>
            </w:r>
            <w:r w:rsidRPr="006D1C5A">
              <w:rPr>
                <w:rFonts w:eastAsia="Times New Roman" w:cs="Calibri"/>
                <w:sz w:val="16"/>
                <w:szCs w:val="16"/>
                <w:lang w:eastAsia="de-DE"/>
              </w:rPr>
              <w:br/>
              <w:t>Unterricht</w:t>
            </w:r>
          </w:p>
        </w:tc>
        <w:tc>
          <w:tcPr>
            <w:tcW w:w="1051" w:type="dxa"/>
            <w:tcBorders>
              <w:top w:val="single" w:sz="4" w:space="0" w:color="auto"/>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sz w:val="16"/>
                <w:szCs w:val="16"/>
                <w:lang w:eastAsia="de-DE"/>
              </w:rPr>
              <w:t>Wirtschaftl.</w:t>
            </w:r>
            <w:r w:rsidRPr="006D1C5A">
              <w:rPr>
                <w:rFonts w:eastAsia="Times New Roman" w:cs="Calibri"/>
                <w:sz w:val="16"/>
                <w:szCs w:val="16"/>
                <w:lang w:eastAsia="de-DE"/>
              </w:rPr>
              <w:br/>
              <w:t>wissenschaftl.</w:t>
            </w:r>
            <w:r w:rsidRPr="006D1C5A">
              <w:rPr>
                <w:rFonts w:eastAsia="Times New Roman" w:cs="Calibri"/>
                <w:sz w:val="16"/>
                <w:szCs w:val="16"/>
                <w:lang w:eastAsia="de-DE"/>
              </w:rPr>
              <w:br/>
              <w:t>freiberufl. DL</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2752F3" w:rsidRPr="006D1C5A" w:rsidRDefault="002752F3" w:rsidP="006815D1">
            <w:pPr>
              <w:spacing w:after="0" w:line="240" w:lineRule="auto"/>
              <w:jc w:val="center"/>
              <w:rPr>
                <w:rFonts w:eastAsia="Times New Roman" w:cs="Calibri"/>
                <w:b/>
                <w:bCs/>
                <w:color w:val="000000"/>
                <w:sz w:val="16"/>
                <w:szCs w:val="16"/>
                <w:lang w:eastAsia="de-DE"/>
              </w:rPr>
            </w:pPr>
            <w:r w:rsidRPr="006D1C5A">
              <w:rPr>
                <w:rFonts w:eastAsia="Times New Roman" w:cs="Calibri"/>
                <w:b/>
                <w:bCs/>
                <w:sz w:val="16"/>
                <w:szCs w:val="16"/>
                <w:lang w:eastAsia="de-DE"/>
              </w:rPr>
              <w:t xml:space="preserve">Insgesamt </w:t>
            </w:r>
            <w:r w:rsidRPr="006D1C5A">
              <w:rPr>
                <w:rFonts w:eastAsia="Times New Roman" w:cs="Calibri"/>
                <w:sz w:val="16"/>
                <w:szCs w:val="16"/>
                <w:lang w:eastAsia="de-DE"/>
              </w:rPr>
              <w:t>(ab 5 Besch.)</w:t>
            </w:r>
          </w:p>
        </w:tc>
      </w:tr>
      <w:tr w:rsidR="002752F3" w:rsidRPr="006D1C5A" w:rsidTr="006815D1">
        <w:trPr>
          <w:trHeight w:val="366"/>
        </w:trPr>
        <w:tc>
          <w:tcPr>
            <w:tcW w:w="964" w:type="dxa"/>
            <w:tcBorders>
              <w:top w:val="single" w:sz="4" w:space="0" w:color="auto"/>
              <w:left w:val="single" w:sz="4" w:space="0" w:color="auto"/>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 </w:t>
            </w:r>
          </w:p>
        </w:tc>
        <w:tc>
          <w:tcPr>
            <w:tcW w:w="692" w:type="dxa"/>
            <w:tcBorders>
              <w:top w:val="single" w:sz="4" w:space="0" w:color="auto"/>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 </w:t>
            </w:r>
          </w:p>
        </w:tc>
        <w:tc>
          <w:tcPr>
            <w:tcW w:w="734" w:type="dxa"/>
            <w:tcBorders>
              <w:top w:val="single" w:sz="4" w:space="0" w:color="auto"/>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 </w:t>
            </w:r>
          </w:p>
        </w:tc>
        <w:tc>
          <w:tcPr>
            <w:tcW w:w="709" w:type="dxa"/>
            <w:tcBorders>
              <w:top w:val="single" w:sz="4" w:space="0" w:color="auto"/>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 </w:t>
            </w:r>
          </w:p>
        </w:tc>
        <w:tc>
          <w:tcPr>
            <w:tcW w:w="601" w:type="dxa"/>
            <w:tcBorders>
              <w:top w:val="single" w:sz="4" w:space="0" w:color="auto"/>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 </w:t>
            </w:r>
          </w:p>
        </w:tc>
        <w:tc>
          <w:tcPr>
            <w:tcW w:w="2440" w:type="dxa"/>
            <w:gridSpan w:val="3"/>
            <w:tcBorders>
              <w:top w:val="single" w:sz="4" w:space="0" w:color="auto"/>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b/>
                <w:bCs/>
                <w:color w:val="000000"/>
                <w:sz w:val="16"/>
                <w:szCs w:val="16"/>
                <w:lang w:eastAsia="de-DE"/>
              </w:rPr>
            </w:pPr>
            <w:r w:rsidRPr="006D1C5A">
              <w:rPr>
                <w:rFonts w:eastAsia="Times New Roman" w:cs="Calibri"/>
                <w:b/>
                <w:bCs/>
                <w:sz w:val="16"/>
                <w:szCs w:val="16"/>
                <w:lang w:eastAsia="de-DE"/>
              </w:rPr>
              <w:t>Westdeutschland</w:t>
            </w:r>
          </w:p>
        </w:tc>
        <w:tc>
          <w:tcPr>
            <w:tcW w:w="744" w:type="dxa"/>
            <w:tcBorders>
              <w:top w:val="single" w:sz="4" w:space="0" w:color="auto"/>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 </w:t>
            </w:r>
          </w:p>
        </w:tc>
        <w:tc>
          <w:tcPr>
            <w:tcW w:w="890" w:type="dxa"/>
            <w:tcBorders>
              <w:top w:val="single" w:sz="4" w:space="0" w:color="auto"/>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 </w:t>
            </w:r>
          </w:p>
        </w:tc>
        <w:tc>
          <w:tcPr>
            <w:tcW w:w="1051" w:type="dxa"/>
            <w:tcBorders>
              <w:top w:val="single" w:sz="4" w:space="0" w:color="auto"/>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 </w:t>
            </w:r>
          </w:p>
        </w:tc>
        <w:tc>
          <w:tcPr>
            <w:tcW w:w="818" w:type="dxa"/>
            <w:tcBorders>
              <w:top w:val="single" w:sz="4" w:space="0" w:color="auto"/>
              <w:left w:val="nil"/>
              <w:bottom w:val="nil"/>
              <w:right w:val="single" w:sz="4" w:space="0" w:color="auto"/>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 </w:t>
            </w:r>
          </w:p>
        </w:tc>
      </w:tr>
      <w:tr w:rsidR="002752F3" w:rsidRPr="006D1C5A" w:rsidTr="006815D1">
        <w:trPr>
          <w:trHeight w:val="377"/>
        </w:trPr>
        <w:tc>
          <w:tcPr>
            <w:tcW w:w="964" w:type="dxa"/>
            <w:tcBorders>
              <w:top w:val="nil"/>
              <w:left w:val="single" w:sz="4" w:space="0" w:color="auto"/>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b/>
                <w:bCs/>
                <w:color w:val="000000"/>
                <w:sz w:val="16"/>
                <w:szCs w:val="16"/>
                <w:lang w:eastAsia="de-DE"/>
              </w:rPr>
            </w:pPr>
            <w:r w:rsidRPr="006D1C5A">
              <w:rPr>
                <w:rFonts w:eastAsia="Times New Roman" w:cs="Calibri"/>
                <w:b/>
                <w:bCs/>
                <w:sz w:val="16"/>
                <w:szCs w:val="16"/>
                <w:lang w:eastAsia="de-DE"/>
              </w:rPr>
              <w:t xml:space="preserve">Betriebe </w:t>
            </w:r>
            <w:r w:rsidRPr="006D1C5A">
              <w:rPr>
                <w:rFonts w:eastAsia="Times New Roman" w:cs="Calibri"/>
                <w:sz w:val="16"/>
                <w:szCs w:val="16"/>
                <w:lang w:eastAsia="de-DE"/>
              </w:rPr>
              <w:t>mit BR</w:t>
            </w:r>
          </w:p>
        </w:tc>
        <w:tc>
          <w:tcPr>
            <w:tcW w:w="692"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43</w:t>
            </w:r>
          </w:p>
        </w:tc>
        <w:tc>
          <w:tcPr>
            <w:tcW w:w="734"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17</w:t>
            </w:r>
          </w:p>
        </w:tc>
        <w:tc>
          <w:tcPr>
            <w:tcW w:w="709"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2</w:t>
            </w:r>
          </w:p>
        </w:tc>
        <w:tc>
          <w:tcPr>
            <w:tcW w:w="601"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9</w:t>
            </w:r>
          </w:p>
        </w:tc>
        <w:tc>
          <w:tcPr>
            <w:tcW w:w="721"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11</w:t>
            </w:r>
          </w:p>
        </w:tc>
        <w:tc>
          <w:tcPr>
            <w:tcW w:w="1012"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9</w:t>
            </w:r>
          </w:p>
        </w:tc>
        <w:tc>
          <w:tcPr>
            <w:tcW w:w="707"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17</w:t>
            </w:r>
          </w:p>
        </w:tc>
        <w:tc>
          <w:tcPr>
            <w:tcW w:w="744"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3</w:t>
            </w:r>
          </w:p>
        </w:tc>
        <w:tc>
          <w:tcPr>
            <w:tcW w:w="890"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12</w:t>
            </w:r>
          </w:p>
        </w:tc>
        <w:tc>
          <w:tcPr>
            <w:tcW w:w="1051"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6</w:t>
            </w:r>
          </w:p>
        </w:tc>
        <w:tc>
          <w:tcPr>
            <w:tcW w:w="818" w:type="dxa"/>
            <w:tcBorders>
              <w:top w:val="nil"/>
              <w:left w:val="nil"/>
              <w:bottom w:val="nil"/>
              <w:right w:val="single" w:sz="4" w:space="0" w:color="auto"/>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9</w:t>
            </w:r>
          </w:p>
        </w:tc>
      </w:tr>
      <w:tr w:rsidR="002752F3" w:rsidRPr="006D1C5A" w:rsidTr="006815D1">
        <w:trPr>
          <w:trHeight w:val="377"/>
        </w:trPr>
        <w:tc>
          <w:tcPr>
            <w:tcW w:w="964" w:type="dxa"/>
            <w:tcBorders>
              <w:top w:val="nil"/>
              <w:left w:val="single" w:sz="4" w:space="0" w:color="auto"/>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b/>
                <w:bCs/>
                <w:color w:val="000000"/>
                <w:sz w:val="16"/>
                <w:szCs w:val="16"/>
                <w:lang w:eastAsia="de-DE"/>
              </w:rPr>
            </w:pPr>
            <w:r w:rsidRPr="006D1C5A">
              <w:rPr>
                <w:rFonts w:eastAsia="Times New Roman" w:cs="Calibri"/>
                <w:b/>
                <w:bCs/>
                <w:sz w:val="16"/>
                <w:szCs w:val="16"/>
                <w:lang w:eastAsia="de-DE"/>
              </w:rPr>
              <w:lastRenderedPageBreak/>
              <w:t xml:space="preserve">Beschäftigte </w:t>
            </w:r>
            <w:r w:rsidRPr="006D1C5A">
              <w:rPr>
                <w:rFonts w:eastAsia="Times New Roman" w:cs="Calibri"/>
                <w:sz w:val="16"/>
                <w:szCs w:val="16"/>
                <w:lang w:eastAsia="de-DE"/>
              </w:rPr>
              <w:t>mit BR</w:t>
            </w:r>
          </w:p>
        </w:tc>
        <w:tc>
          <w:tcPr>
            <w:tcW w:w="692" w:type="dxa"/>
            <w:tcBorders>
              <w:top w:val="nil"/>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81</w:t>
            </w:r>
          </w:p>
        </w:tc>
        <w:tc>
          <w:tcPr>
            <w:tcW w:w="734" w:type="dxa"/>
            <w:tcBorders>
              <w:top w:val="nil"/>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67</w:t>
            </w:r>
          </w:p>
        </w:tc>
        <w:tc>
          <w:tcPr>
            <w:tcW w:w="709" w:type="dxa"/>
            <w:tcBorders>
              <w:top w:val="nil"/>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17</w:t>
            </w:r>
          </w:p>
        </w:tc>
        <w:tc>
          <w:tcPr>
            <w:tcW w:w="601" w:type="dxa"/>
            <w:tcBorders>
              <w:top w:val="nil"/>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30</w:t>
            </w:r>
          </w:p>
        </w:tc>
        <w:tc>
          <w:tcPr>
            <w:tcW w:w="721" w:type="dxa"/>
            <w:tcBorders>
              <w:top w:val="nil"/>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43</w:t>
            </w:r>
          </w:p>
        </w:tc>
        <w:tc>
          <w:tcPr>
            <w:tcW w:w="1012" w:type="dxa"/>
            <w:tcBorders>
              <w:top w:val="nil"/>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37</w:t>
            </w:r>
          </w:p>
        </w:tc>
        <w:tc>
          <w:tcPr>
            <w:tcW w:w="707" w:type="dxa"/>
            <w:tcBorders>
              <w:top w:val="nil"/>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66</w:t>
            </w:r>
          </w:p>
        </w:tc>
        <w:tc>
          <w:tcPr>
            <w:tcW w:w="744" w:type="dxa"/>
            <w:tcBorders>
              <w:top w:val="nil"/>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11</w:t>
            </w:r>
          </w:p>
        </w:tc>
        <w:tc>
          <w:tcPr>
            <w:tcW w:w="890" w:type="dxa"/>
            <w:tcBorders>
              <w:top w:val="nil"/>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50</w:t>
            </w:r>
          </w:p>
        </w:tc>
        <w:tc>
          <w:tcPr>
            <w:tcW w:w="1051" w:type="dxa"/>
            <w:tcBorders>
              <w:top w:val="nil"/>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28</w:t>
            </w:r>
          </w:p>
        </w:tc>
        <w:tc>
          <w:tcPr>
            <w:tcW w:w="818" w:type="dxa"/>
            <w:tcBorders>
              <w:top w:val="nil"/>
              <w:left w:val="nil"/>
              <w:bottom w:val="single" w:sz="4" w:space="0" w:color="auto"/>
              <w:right w:val="single" w:sz="4" w:space="0" w:color="auto"/>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42</w:t>
            </w:r>
          </w:p>
        </w:tc>
      </w:tr>
      <w:tr w:rsidR="002752F3" w:rsidRPr="006D1C5A" w:rsidTr="006815D1">
        <w:trPr>
          <w:trHeight w:val="363"/>
        </w:trPr>
        <w:tc>
          <w:tcPr>
            <w:tcW w:w="964" w:type="dxa"/>
            <w:tcBorders>
              <w:top w:val="nil"/>
              <w:left w:val="single" w:sz="4" w:space="0" w:color="auto"/>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 </w:t>
            </w:r>
          </w:p>
        </w:tc>
        <w:tc>
          <w:tcPr>
            <w:tcW w:w="692"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 </w:t>
            </w:r>
          </w:p>
        </w:tc>
        <w:tc>
          <w:tcPr>
            <w:tcW w:w="734"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 </w:t>
            </w:r>
          </w:p>
        </w:tc>
        <w:tc>
          <w:tcPr>
            <w:tcW w:w="709"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 </w:t>
            </w:r>
          </w:p>
        </w:tc>
        <w:tc>
          <w:tcPr>
            <w:tcW w:w="601"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 </w:t>
            </w:r>
          </w:p>
        </w:tc>
        <w:tc>
          <w:tcPr>
            <w:tcW w:w="2440" w:type="dxa"/>
            <w:gridSpan w:val="3"/>
            <w:tcBorders>
              <w:top w:val="single" w:sz="4" w:space="0" w:color="auto"/>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b/>
                <w:bCs/>
                <w:color w:val="000000"/>
                <w:sz w:val="16"/>
                <w:szCs w:val="16"/>
                <w:lang w:eastAsia="de-DE"/>
              </w:rPr>
            </w:pPr>
            <w:r w:rsidRPr="006D1C5A">
              <w:rPr>
                <w:rFonts w:eastAsia="Times New Roman" w:cs="Calibri"/>
                <w:b/>
                <w:bCs/>
                <w:sz w:val="16"/>
                <w:szCs w:val="16"/>
                <w:lang w:eastAsia="de-DE"/>
              </w:rPr>
              <w:t>Ostdeutschland</w:t>
            </w:r>
          </w:p>
        </w:tc>
        <w:tc>
          <w:tcPr>
            <w:tcW w:w="744"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 </w:t>
            </w:r>
          </w:p>
        </w:tc>
        <w:tc>
          <w:tcPr>
            <w:tcW w:w="890"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 </w:t>
            </w:r>
          </w:p>
        </w:tc>
        <w:tc>
          <w:tcPr>
            <w:tcW w:w="1051"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 </w:t>
            </w:r>
          </w:p>
        </w:tc>
        <w:tc>
          <w:tcPr>
            <w:tcW w:w="818" w:type="dxa"/>
            <w:tcBorders>
              <w:top w:val="nil"/>
              <w:left w:val="nil"/>
              <w:bottom w:val="nil"/>
              <w:right w:val="single" w:sz="4" w:space="0" w:color="auto"/>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 </w:t>
            </w:r>
          </w:p>
        </w:tc>
      </w:tr>
      <w:tr w:rsidR="002752F3" w:rsidRPr="006D1C5A" w:rsidTr="006815D1">
        <w:trPr>
          <w:trHeight w:val="377"/>
        </w:trPr>
        <w:tc>
          <w:tcPr>
            <w:tcW w:w="964" w:type="dxa"/>
            <w:tcBorders>
              <w:top w:val="nil"/>
              <w:left w:val="single" w:sz="4" w:space="0" w:color="auto"/>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b/>
                <w:bCs/>
                <w:color w:val="000000"/>
                <w:sz w:val="16"/>
                <w:szCs w:val="16"/>
                <w:lang w:eastAsia="de-DE"/>
              </w:rPr>
            </w:pPr>
            <w:r w:rsidRPr="006D1C5A">
              <w:rPr>
                <w:rFonts w:eastAsia="Times New Roman" w:cs="Calibri"/>
                <w:b/>
                <w:bCs/>
                <w:sz w:val="16"/>
                <w:szCs w:val="16"/>
                <w:lang w:eastAsia="de-DE"/>
              </w:rPr>
              <w:t xml:space="preserve">Betriebe </w:t>
            </w:r>
            <w:r w:rsidRPr="006D1C5A">
              <w:rPr>
                <w:rFonts w:eastAsia="Times New Roman" w:cs="Calibri"/>
                <w:sz w:val="16"/>
                <w:szCs w:val="16"/>
                <w:lang w:eastAsia="de-DE"/>
              </w:rPr>
              <w:t>mit BR</w:t>
            </w:r>
          </w:p>
        </w:tc>
        <w:tc>
          <w:tcPr>
            <w:tcW w:w="692"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30</w:t>
            </w:r>
          </w:p>
        </w:tc>
        <w:tc>
          <w:tcPr>
            <w:tcW w:w="734"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12</w:t>
            </w:r>
          </w:p>
        </w:tc>
        <w:tc>
          <w:tcPr>
            <w:tcW w:w="709"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3</w:t>
            </w:r>
          </w:p>
        </w:tc>
        <w:tc>
          <w:tcPr>
            <w:tcW w:w="601"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8</w:t>
            </w:r>
          </w:p>
        </w:tc>
        <w:tc>
          <w:tcPr>
            <w:tcW w:w="721"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7</w:t>
            </w:r>
          </w:p>
        </w:tc>
        <w:tc>
          <w:tcPr>
            <w:tcW w:w="1012"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9</w:t>
            </w:r>
          </w:p>
        </w:tc>
        <w:tc>
          <w:tcPr>
            <w:tcW w:w="707"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51</w:t>
            </w:r>
          </w:p>
        </w:tc>
        <w:tc>
          <w:tcPr>
            <w:tcW w:w="744"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3</w:t>
            </w:r>
          </w:p>
        </w:tc>
        <w:tc>
          <w:tcPr>
            <w:tcW w:w="890"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18</w:t>
            </w:r>
          </w:p>
        </w:tc>
        <w:tc>
          <w:tcPr>
            <w:tcW w:w="1051" w:type="dxa"/>
            <w:tcBorders>
              <w:top w:val="nil"/>
              <w:left w:val="nil"/>
              <w:bottom w:val="nil"/>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8</w:t>
            </w:r>
          </w:p>
        </w:tc>
        <w:tc>
          <w:tcPr>
            <w:tcW w:w="818" w:type="dxa"/>
            <w:tcBorders>
              <w:top w:val="nil"/>
              <w:left w:val="nil"/>
              <w:bottom w:val="nil"/>
              <w:right w:val="single" w:sz="4" w:space="0" w:color="auto"/>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10</w:t>
            </w:r>
          </w:p>
        </w:tc>
      </w:tr>
      <w:tr w:rsidR="002752F3" w:rsidRPr="006D1C5A" w:rsidTr="006815D1">
        <w:trPr>
          <w:trHeight w:val="377"/>
        </w:trPr>
        <w:tc>
          <w:tcPr>
            <w:tcW w:w="964" w:type="dxa"/>
            <w:tcBorders>
              <w:top w:val="nil"/>
              <w:left w:val="single" w:sz="4" w:space="0" w:color="auto"/>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b/>
                <w:bCs/>
                <w:color w:val="000000"/>
                <w:sz w:val="16"/>
                <w:szCs w:val="16"/>
                <w:lang w:eastAsia="de-DE"/>
              </w:rPr>
            </w:pPr>
            <w:r w:rsidRPr="006D1C5A">
              <w:rPr>
                <w:rFonts w:eastAsia="Times New Roman" w:cs="Calibri"/>
                <w:b/>
                <w:bCs/>
                <w:sz w:val="16"/>
                <w:szCs w:val="16"/>
                <w:lang w:eastAsia="de-DE"/>
              </w:rPr>
              <w:t xml:space="preserve">Beschäftigte </w:t>
            </w:r>
            <w:r w:rsidRPr="006D1C5A">
              <w:rPr>
                <w:rFonts w:eastAsia="Times New Roman" w:cs="Calibri"/>
                <w:sz w:val="16"/>
                <w:szCs w:val="16"/>
                <w:lang w:eastAsia="de-DE"/>
              </w:rPr>
              <w:t>mit BR</w:t>
            </w:r>
          </w:p>
        </w:tc>
        <w:tc>
          <w:tcPr>
            <w:tcW w:w="692" w:type="dxa"/>
            <w:tcBorders>
              <w:top w:val="nil"/>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74</w:t>
            </w:r>
          </w:p>
        </w:tc>
        <w:tc>
          <w:tcPr>
            <w:tcW w:w="734" w:type="dxa"/>
            <w:tcBorders>
              <w:top w:val="nil"/>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52</w:t>
            </w:r>
          </w:p>
        </w:tc>
        <w:tc>
          <w:tcPr>
            <w:tcW w:w="709" w:type="dxa"/>
            <w:tcBorders>
              <w:top w:val="nil"/>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14</w:t>
            </w:r>
          </w:p>
        </w:tc>
        <w:tc>
          <w:tcPr>
            <w:tcW w:w="601" w:type="dxa"/>
            <w:tcBorders>
              <w:top w:val="nil"/>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19</w:t>
            </w:r>
          </w:p>
        </w:tc>
        <w:tc>
          <w:tcPr>
            <w:tcW w:w="721" w:type="dxa"/>
            <w:tcBorders>
              <w:top w:val="nil"/>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35</w:t>
            </w:r>
          </w:p>
        </w:tc>
        <w:tc>
          <w:tcPr>
            <w:tcW w:w="1012" w:type="dxa"/>
            <w:tcBorders>
              <w:top w:val="nil"/>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19</w:t>
            </w:r>
          </w:p>
        </w:tc>
        <w:tc>
          <w:tcPr>
            <w:tcW w:w="707" w:type="dxa"/>
            <w:tcBorders>
              <w:top w:val="nil"/>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63</w:t>
            </w:r>
          </w:p>
        </w:tc>
        <w:tc>
          <w:tcPr>
            <w:tcW w:w="744" w:type="dxa"/>
            <w:tcBorders>
              <w:top w:val="nil"/>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9</w:t>
            </w:r>
          </w:p>
        </w:tc>
        <w:tc>
          <w:tcPr>
            <w:tcW w:w="890" w:type="dxa"/>
            <w:tcBorders>
              <w:top w:val="nil"/>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47</w:t>
            </w:r>
          </w:p>
        </w:tc>
        <w:tc>
          <w:tcPr>
            <w:tcW w:w="1051" w:type="dxa"/>
            <w:tcBorders>
              <w:top w:val="nil"/>
              <w:left w:val="nil"/>
              <w:bottom w:val="single" w:sz="4" w:space="0" w:color="auto"/>
              <w:right w:val="nil"/>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31</w:t>
            </w:r>
          </w:p>
        </w:tc>
        <w:tc>
          <w:tcPr>
            <w:tcW w:w="818" w:type="dxa"/>
            <w:tcBorders>
              <w:top w:val="nil"/>
              <w:left w:val="nil"/>
              <w:bottom w:val="single" w:sz="4" w:space="0" w:color="auto"/>
              <w:right w:val="single" w:sz="4" w:space="0" w:color="auto"/>
            </w:tcBorders>
            <w:shd w:val="clear" w:color="auto" w:fill="auto"/>
            <w:vAlign w:val="center"/>
            <w:hideMark/>
          </w:tcPr>
          <w:p w:rsidR="002752F3" w:rsidRPr="006D1C5A" w:rsidRDefault="002752F3" w:rsidP="006815D1">
            <w:pPr>
              <w:spacing w:after="0" w:line="240" w:lineRule="auto"/>
              <w:jc w:val="center"/>
              <w:rPr>
                <w:rFonts w:eastAsia="Times New Roman" w:cs="Calibri"/>
                <w:color w:val="000000"/>
                <w:sz w:val="16"/>
                <w:szCs w:val="16"/>
                <w:lang w:eastAsia="de-DE"/>
              </w:rPr>
            </w:pPr>
            <w:r w:rsidRPr="006D1C5A">
              <w:rPr>
                <w:rFonts w:eastAsia="Times New Roman" w:cs="Calibri"/>
                <w:color w:val="000000"/>
                <w:sz w:val="16"/>
                <w:szCs w:val="16"/>
                <w:lang w:eastAsia="de-DE"/>
              </w:rPr>
              <w:t>35</w:t>
            </w:r>
          </w:p>
        </w:tc>
      </w:tr>
    </w:tbl>
    <w:p w:rsidR="002752F3" w:rsidRDefault="002752F3" w:rsidP="002752F3">
      <w:pPr>
        <w:spacing w:after="0" w:line="240" w:lineRule="auto"/>
        <w:jc w:val="both"/>
        <w:rPr>
          <w:rFonts w:asciiTheme="minorHAnsi" w:eastAsia="Arial" w:hAnsiTheme="minorHAnsi" w:cs="Arial"/>
          <w:color w:val="000000"/>
        </w:rPr>
      </w:pPr>
    </w:p>
    <w:p w:rsidR="002752F3" w:rsidRDefault="002752F3" w:rsidP="00C3279F">
      <w:pPr>
        <w:pStyle w:val="Listenabsatz"/>
        <w:numPr>
          <w:ilvl w:val="0"/>
          <w:numId w:val="3"/>
        </w:numPr>
        <w:spacing w:after="0" w:line="240" w:lineRule="auto"/>
        <w:jc w:val="both"/>
        <w:rPr>
          <w:rFonts w:asciiTheme="minorHAnsi" w:eastAsia="Arial" w:hAnsiTheme="minorHAnsi" w:cs="Arial"/>
          <w:color w:val="000000"/>
        </w:rPr>
      </w:pPr>
      <w:r w:rsidRPr="00A42846">
        <w:rPr>
          <w:rFonts w:asciiTheme="minorHAnsi" w:eastAsia="Arial" w:hAnsiTheme="minorHAnsi" w:cs="Arial"/>
          <w:b/>
          <w:color w:val="000000"/>
        </w:rPr>
        <w:t>Die Wahlbeteiligung bei den Betriebsratswahlen</w:t>
      </w:r>
      <w:r w:rsidRPr="00A42846">
        <w:rPr>
          <w:rFonts w:asciiTheme="minorHAnsi" w:eastAsia="Arial" w:hAnsiTheme="minorHAnsi" w:cs="Arial"/>
          <w:color w:val="000000"/>
        </w:rPr>
        <w:t xml:space="preserve"> </w:t>
      </w:r>
      <w:r>
        <w:rPr>
          <w:rFonts w:asciiTheme="minorHAnsi" w:eastAsia="Arial" w:hAnsiTheme="minorHAnsi" w:cs="Arial"/>
          <w:color w:val="000000"/>
        </w:rPr>
        <w:t>lag 2018 durchschnittlich bei 75,5 % und damit 6,3 % geringer als 2006</w:t>
      </w:r>
      <w:r w:rsidRPr="00A42846">
        <w:rPr>
          <w:rFonts w:asciiTheme="minorHAnsi" w:eastAsia="Arial" w:hAnsiTheme="minorHAnsi" w:cs="Arial"/>
          <w:color w:val="000000"/>
        </w:rPr>
        <w:t xml:space="preserve"> (s. Antwort auf Frage 3). </w:t>
      </w:r>
    </w:p>
    <w:p w:rsidR="002752F3" w:rsidRDefault="002752F3" w:rsidP="00C3279F">
      <w:pPr>
        <w:pStyle w:val="Listenabsatz"/>
        <w:numPr>
          <w:ilvl w:val="0"/>
          <w:numId w:val="3"/>
        </w:numPr>
        <w:spacing w:after="0" w:line="240" w:lineRule="auto"/>
        <w:jc w:val="both"/>
        <w:rPr>
          <w:rFonts w:asciiTheme="minorHAnsi" w:eastAsia="Arial" w:hAnsiTheme="minorHAnsi" w:cs="Arial"/>
          <w:color w:val="000000"/>
        </w:rPr>
      </w:pPr>
      <w:r w:rsidRPr="002752F3">
        <w:rPr>
          <w:rFonts w:asciiTheme="minorHAnsi" w:eastAsia="Arial" w:hAnsiTheme="minorHAnsi" w:cs="Arial"/>
          <w:b/>
          <w:color w:val="000000"/>
        </w:rPr>
        <w:t xml:space="preserve">Trend zum vereinfachten Wahlverfahren bei Betriebsratswahlen </w:t>
      </w:r>
      <w:r w:rsidRPr="002752F3">
        <w:rPr>
          <w:rFonts w:asciiTheme="minorHAnsi" w:eastAsia="Arial" w:hAnsiTheme="minorHAnsi" w:cs="Arial"/>
          <w:color w:val="000000"/>
        </w:rPr>
        <w:t>(s. Antwort auf Frage 4):</w:t>
      </w:r>
      <w:r w:rsidRPr="002752F3">
        <w:rPr>
          <w:rFonts w:asciiTheme="minorHAnsi" w:eastAsia="Arial" w:hAnsiTheme="minorHAnsi" w:cs="Arial"/>
          <w:b/>
          <w:color w:val="000000"/>
        </w:rPr>
        <w:t xml:space="preserve"> </w:t>
      </w:r>
      <w:r w:rsidRPr="002752F3">
        <w:rPr>
          <w:rFonts w:asciiTheme="minorHAnsi" w:eastAsia="Arial" w:hAnsiTheme="minorHAnsi" w:cs="Arial"/>
          <w:color w:val="000000"/>
        </w:rPr>
        <w:t xml:space="preserve">Das vereinfachte Wahlverfahren wird im Jahr 2018 in Betrieben mit 51 – 100 Beschäftigten mit 48,3 % um ca. 12 % seltener angewendet als im Jahr 2006 (s. Antwort auf Frage 4). In Betrieben dieser Größe kann das vereinfachte Wahlverfahren nach Vereinbarung zwischen Wahlvorstand und Arbeitgeber angewandt werden, während es in Betrieben 5 – 50 Beschäftigten obligatorisch ist. </w:t>
      </w:r>
    </w:p>
    <w:p w:rsidR="002752F3" w:rsidRDefault="002752F3" w:rsidP="00C3279F">
      <w:pPr>
        <w:pStyle w:val="Listenabsatz"/>
        <w:numPr>
          <w:ilvl w:val="0"/>
          <w:numId w:val="3"/>
        </w:numPr>
        <w:spacing w:after="0" w:line="240" w:lineRule="auto"/>
        <w:jc w:val="both"/>
        <w:rPr>
          <w:rFonts w:asciiTheme="minorHAnsi" w:eastAsia="Arial" w:hAnsiTheme="minorHAnsi" w:cs="Arial"/>
          <w:color w:val="000000"/>
        </w:rPr>
      </w:pPr>
      <w:r w:rsidRPr="002752F3">
        <w:rPr>
          <w:rFonts w:asciiTheme="minorHAnsi" w:eastAsia="Arial" w:hAnsiTheme="minorHAnsi" w:cs="Arial"/>
          <w:b/>
          <w:color w:val="000000"/>
        </w:rPr>
        <w:t xml:space="preserve">Der durchschnittliche gewerkschaftliche Organisierungsgrad der Betriebsräte </w:t>
      </w:r>
      <w:r w:rsidRPr="002752F3">
        <w:rPr>
          <w:rFonts w:asciiTheme="minorHAnsi" w:eastAsia="Arial" w:hAnsiTheme="minorHAnsi" w:cs="Arial"/>
          <w:color w:val="000000"/>
        </w:rPr>
        <w:t>beträgt in identischen Betrieben (s. Antwort auf Frage 6):</w:t>
      </w:r>
    </w:p>
    <w:p w:rsidR="002752F3" w:rsidRDefault="002752F3" w:rsidP="00C3279F">
      <w:pPr>
        <w:pStyle w:val="Listenabsatz"/>
        <w:numPr>
          <w:ilvl w:val="1"/>
          <w:numId w:val="3"/>
        </w:numPr>
        <w:spacing w:after="0" w:line="240" w:lineRule="auto"/>
        <w:jc w:val="both"/>
        <w:rPr>
          <w:rFonts w:asciiTheme="minorHAnsi" w:eastAsia="Arial" w:hAnsiTheme="minorHAnsi" w:cs="Arial"/>
          <w:color w:val="000000"/>
        </w:rPr>
      </w:pPr>
      <w:r w:rsidRPr="002752F3">
        <w:rPr>
          <w:rFonts w:asciiTheme="minorHAnsi" w:eastAsia="Arial" w:hAnsiTheme="minorHAnsi" w:cs="Arial"/>
          <w:color w:val="000000"/>
        </w:rPr>
        <w:t>2010 sind 63% der Betriebsräte Mitglied von ver.di, 72,1 % der NGG und 65% gesamt;</w:t>
      </w:r>
    </w:p>
    <w:p w:rsidR="002752F3" w:rsidRDefault="002752F3" w:rsidP="00C3279F">
      <w:pPr>
        <w:pStyle w:val="Listenabsatz"/>
        <w:numPr>
          <w:ilvl w:val="1"/>
          <w:numId w:val="3"/>
        </w:numPr>
        <w:spacing w:after="0" w:line="240" w:lineRule="auto"/>
        <w:jc w:val="both"/>
        <w:rPr>
          <w:rFonts w:asciiTheme="minorHAnsi" w:eastAsia="Arial" w:hAnsiTheme="minorHAnsi" w:cs="Arial"/>
          <w:color w:val="000000"/>
        </w:rPr>
      </w:pPr>
      <w:r w:rsidRPr="002752F3">
        <w:rPr>
          <w:rFonts w:asciiTheme="minorHAnsi" w:eastAsia="Arial" w:hAnsiTheme="minorHAnsi" w:cs="Arial"/>
          <w:color w:val="000000"/>
        </w:rPr>
        <w:t xml:space="preserve">2014 sind 61% der Betriebsräte Mitglied von ver.di, 72,4% der NGG und 64,4% gesamt </w:t>
      </w:r>
    </w:p>
    <w:p w:rsidR="002752F3" w:rsidRPr="002752F3" w:rsidRDefault="002752F3" w:rsidP="00C3279F">
      <w:pPr>
        <w:pStyle w:val="Listenabsatz"/>
        <w:numPr>
          <w:ilvl w:val="1"/>
          <w:numId w:val="3"/>
        </w:numPr>
        <w:spacing w:after="0" w:line="240" w:lineRule="auto"/>
        <w:jc w:val="both"/>
        <w:rPr>
          <w:rFonts w:asciiTheme="minorHAnsi" w:eastAsia="Arial" w:hAnsiTheme="minorHAnsi" w:cs="Arial"/>
          <w:color w:val="000000"/>
        </w:rPr>
      </w:pPr>
      <w:r w:rsidRPr="002752F3">
        <w:rPr>
          <w:rFonts w:asciiTheme="minorHAnsi" w:eastAsia="Arial" w:hAnsiTheme="minorHAnsi" w:cs="Arial"/>
          <w:color w:val="000000"/>
        </w:rPr>
        <w:t xml:space="preserve">Angaben für andere Gewerkschaften liegen nicht vor. Das Institut der Deutschen Wirtschaft geht davon aus, dass im Jahr 2014 branchenübergreifend 63,8% der Betriebsräte gewerkschaftlich organisiert sind. </w:t>
      </w:r>
    </w:p>
    <w:p w:rsidR="002752F3" w:rsidRDefault="00C3279F" w:rsidP="00C3279F">
      <w:pPr>
        <w:pStyle w:val="Listenabsatz"/>
        <w:numPr>
          <w:ilvl w:val="0"/>
          <w:numId w:val="4"/>
        </w:numPr>
        <w:spacing w:after="0" w:line="240" w:lineRule="auto"/>
        <w:jc w:val="both"/>
        <w:rPr>
          <w:rFonts w:asciiTheme="minorHAnsi" w:eastAsia="Arial" w:hAnsiTheme="minorHAnsi" w:cs="Arial"/>
          <w:color w:val="000000"/>
        </w:rPr>
      </w:pPr>
      <w:r>
        <w:rPr>
          <w:rFonts w:asciiTheme="minorHAnsi" w:eastAsia="Arial" w:hAnsiTheme="minorHAnsi" w:cs="Arial"/>
          <w:b/>
          <w:color w:val="000000"/>
        </w:rPr>
        <w:t>11.421 erledigte</w:t>
      </w:r>
      <w:r w:rsidRPr="00DE666C">
        <w:rPr>
          <w:rFonts w:asciiTheme="minorHAnsi" w:eastAsia="Arial" w:hAnsiTheme="minorHAnsi" w:cs="Arial"/>
          <w:b/>
          <w:color w:val="000000"/>
        </w:rPr>
        <w:t xml:space="preserve"> Beschlussverfahren</w:t>
      </w:r>
      <w:r>
        <w:rPr>
          <w:rFonts w:asciiTheme="minorHAnsi" w:eastAsia="Arial" w:hAnsiTheme="minorHAnsi" w:cs="Arial"/>
          <w:b/>
          <w:color w:val="000000"/>
        </w:rPr>
        <w:t xml:space="preserve"> vor Arbeitsgericht in </w:t>
      </w:r>
      <w:r w:rsidR="002752F3" w:rsidRPr="00DE666C">
        <w:rPr>
          <w:rFonts w:asciiTheme="minorHAnsi" w:eastAsia="Arial" w:hAnsiTheme="minorHAnsi" w:cs="Arial"/>
          <w:b/>
          <w:color w:val="000000"/>
        </w:rPr>
        <w:t xml:space="preserve">2017 zu </w:t>
      </w:r>
      <w:r w:rsidR="002752F3" w:rsidRPr="008E1A21">
        <w:rPr>
          <w:rFonts w:asciiTheme="minorHAnsi" w:eastAsia="Arial" w:hAnsiTheme="minorHAnsi" w:cs="Arial"/>
          <w:color w:val="000000"/>
        </w:rPr>
        <w:t>(s. Antwort auf Frage 7):</w:t>
      </w:r>
    </w:p>
    <w:p w:rsidR="002752F3" w:rsidRDefault="002752F3" w:rsidP="00C3279F">
      <w:pPr>
        <w:pStyle w:val="Listenabsatz"/>
        <w:numPr>
          <w:ilvl w:val="1"/>
          <w:numId w:val="4"/>
        </w:numPr>
        <w:spacing w:after="0" w:line="240" w:lineRule="auto"/>
        <w:jc w:val="both"/>
        <w:rPr>
          <w:rFonts w:asciiTheme="minorHAnsi" w:eastAsia="Arial" w:hAnsiTheme="minorHAnsi" w:cs="Arial"/>
          <w:color w:val="000000"/>
        </w:rPr>
      </w:pPr>
      <w:r w:rsidRPr="002752F3">
        <w:rPr>
          <w:rFonts w:asciiTheme="minorHAnsi" w:eastAsia="Arial" w:hAnsiTheme="minorHAnsi" w:cs="Arial"/>
          <w:color w:val="000000"/>
        </w:rPr>
        <w:t>Davon hat die Arbeitnehmerseite (Betriebsräte, Gewerkschaften, Wahlvorstände, Arbeitnehmer) 8.935 Beschlussverfahren eingeleitet.</w:t>
      </w:r>
    </w:p>
    <w:p w:rsidR="002752F3" w:rsidRDefault="002752F3" w:rsidP="00C3279F">
      <w:pPr>
        <w:pStyle w:val="Listenabsatz"/>
        <w:numPr>
          <w:ilvl w:val="1"/>
          <w:numId w:val="4"/>
        </w:numPr>
        <w:spacing w:after="0" w:line="240" w:lineRule="auto"/>
        <w:jc w:val="both"/>
        <w:rPr>
          <w:rFonts w:asciiTheme="minorHAnsi" w:eastAsia="Arial" w:hAnsiTheme="minorHAnsi" w:cs="Arial"/>
          <w:color w:val="000000"/>
        </w:rPr>
      </w:pPr>
      <w:r w:rsidRPr="002752F3">
        <w:rPr>
          <w:rFonts w:asciiTheme="minorHAnsi" w:eastAsia="Arial" w:hAnsiTheme="minorHAnsi" w:cs="Arial"/>
          <w:color w:val="000000"/>
        </w:rPr>
        <w:t>Davon hat die Arbeitgeberseite (Arbeitgeber, Arbeitgeberverbände) 2.486 Beschlussverfahren eingeleitet</w:t>
      </w:r>
    </w:p>
    <w:p w:rsidR="002752F3" w:rsidRPr="00C3279F" w:rsidRDefault="002752F3" w:rsidP="00C3279F">
      <w:pPr>
        <w:pStyle w:val="Listenabsatz"/>
        <w:numPr>
          <w:ilvl w:val="1"/>
          <w:numId w:val="4"/>
        </w:numPr>
        <w:spacing w:after="0" w:line="240" w:lineRule="auto"/>
        <w:jc w:val="both"/>
        <w:rPr>
          <w:rFonts w:asciiTheme="minorHAnsi" w:eastAsia="Arial" w:hAnsiTheme="minorHAnsi" w:cs="Arial"/>
          <w:color w:val="000000"/>
        </w:rPr>
      </w:pPr>
      <w:r w:rsidRPr="002752F3">
        <w:rPr>
          <w:rFonts w:asciiTheme="minorHAnsi" w:eastAsia="Arial" w:hAnsiTheme="minorHAnsi" w:cs="Arial"/>
          <w:color w:val="000000"/>
        </w:rPr>
        <w:t>Die erledigten Beschlussverfahren durch die Arbeitnehmerseite nehmen in fast allen neuen Bundesländern zu, während sie in fast allen alten Bundesländern sinken.</w:t>
      </w:r>
    </w:p>
    <w:tbl>
      <w:tblPr>
        <w:tblW w:w="9776" w:type="dxa"/>
        <w:tblCellMar>
          <w:left w:w="70" w:type="dxa"/>
          <w:right w:w="70" w:type="dxa"/>
        </w:tblCellMar>
        <w:tblLook w:val="04A0" w:firstRow="1" w:lastRow="0" w:firstColumn="1" w:lastColumn="0" w:noHBand="0" w:noVBand="1"/>
      </w:tblPr>
      <w:tblGrid>
        <w:gridCol w:w="704"/>
        <w:gridCol w:w="567"/>
        <w:gridCol w:w="567"/>
        <w:gridCol w:w="567"/>
        <w:gridCol w:w="567"/>
        <w:gridCol w:w="567"/>
        <w:gridCol w:w="567"/>
        <w:gridCol w:w="567"/>
        <w:gridCol w:w="567"/>
        <w:gridCol w:w="567"/>
        <w:gridCol w:w="567"/>
        <w:gridCol w:w="567"/>
        <w:gridCol w:w="567"/>
        <w:gridCol w:w="567"/>
        <w:gridCol w:w="567"/>
        <w:gridCol w:w="567"/>
        <w:gridCol w:w="567"/>
      </w:tblGrid>
      <w:tr w:rsidR="002752F3" w:rsidRPr="00651007" w:rsidTr="002752F3">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Jahr</w:t>
            </w:r>
          </w:p>
        </w:tc>
        <w:tc>
          <w:tcPr>
            <w:tcW w:w="9072" w:type="dxa"/>
            <w:gridSpan w:val="16"/>
            <w:tcBorders>
              <w:top w:val="single" w:sz="4" w:space="0" w:color="auto"/>
              <w:left w:val="nil"/>
              <w:bottom w:val="single" w:sz="4" w:space="0" w:color="auto"/>
              <w:right w:val="single" w:sz="4" w:space="0" w:color="auto"/>
            </w:tcBorders>
            <w:shd w:val="clear" w:color="auto" w:fill="auto"/>
            <w:noWrap/>
            <w:vAlign w:val="center"/>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Bundesland</w:t>
            </w:r>
          </w:p>
        </w:tc>
      </w:tr>
      <w:tr w:rsidR="002752F3" w:rsidRPr="00651007" w:rsidTr="002752F3">
        <w:trPr>
          <w:trHeight w:val="2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 </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SH</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HH</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NI</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HB</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NW</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HE</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RP</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BW</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BY</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SL</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BE</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BB</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MV</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SN</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ST</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TH</w:t>
            </w:r>
          </w:p>
        </w:tc>
      </w:tr>
      <w:tr w:rsidR="002752F3" w:rsidRPr="00651007" w:rsidTr="002752F3">
        <w:trPr>
          <w:trHeight w:val="24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right"/>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2007</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220</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651</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775</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198</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2021</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527</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816</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118</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66</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229</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194</w:t>
            </w:r>
          </w:p>
        </w:tc>
        <w:tc>
          <w:tcPr>
            <w:tcW w:w="567" w:type="dxa"/>
            <w:tcBorders>
              <w:top w:val="nil"/>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90</w:t>
            </w:r>
          </w:p>
        </w:tc>
      </w:tr>
      <w:tr w:rsidR="002752F3" w:rsidRPr="00651007" w:rsidTr="002752F3">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right"/>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2009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566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769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1653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413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949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1497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151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514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323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85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128</w:t>
            </w:r>
          </w:p>
        </w:tc>
      </w:tr>
      <w:tr w:rsidR="002752F3" w:rsidRPr="00651007" w:rsidTr="002752F3">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right"/>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2013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166</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567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702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255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1568</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1632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298</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689</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1369</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151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357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284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111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251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221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110</w:t>
            </w:r>
          </w:p>
        </w:tc>
      </w:tr>
      <w:tr w:rsidR="002752F3" w:rsidRPr="00651007" w:rsidTr="002752F3">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right"/>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2017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157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483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641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250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1364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1585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294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617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2106</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101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316</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199</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235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242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247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98</w:t>
            </w:r>
          </w:p>
        </w:tc>
      </w:tr>
      <w:tr w:rsidR="002752F3" w:rsidRPr="00651007" w:rsidTr="002752F3">
        <w:trPr>
          <w:trHeight w:val="24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Pr>
                <w:rFonts w:asciiTheme="minorHAnsi" w:eastAsia="Times New Roman" w:hAnsiTheme="minorHAnsi" w:cstheme="minorHAnsi"/>
                <w:color w:val="000000"/>
                <w:sz w:val="18"/>
                <w:szCs w:val="18"/>
                <w:lang w:eastAsia="de-DE"/>
              </w:rPr>
              <w:t>Veränderung in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-28,6</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-25,8</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-17,3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-26,3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-32,5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-2,9</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-44,2</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-24,4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40,7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-14,4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38,5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38,4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256,1</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5,7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27,3</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752F3" w:rsidRPr="008D023F" w:rsidRDefault="002752F3" w:rsidP="006815D1">
            <w:pPr>
              <w:spacing w:after="0" w:line="240" w:lineRule="auto"/>
              <w:jc w:val="center"/>
              <w:rPr>
                <w:rFonts w:asciiTheme="minorHAnsi" w:eastAsia="Times New Roman" w:hAnsiTheme="minorHAnsi" w:cstheme="minorHAnsi"/>
                <w:color w:val="000000"/>
                <w:sz w:val="18"/>
                <w:szCs w:val="18"/>
                <w:lang w:eastAsia="de-DE"/>
              </w:rPr>
            </w:pPr>
            <w:r w:rsidRPr="008D023F">
              <w:rPr>
                <w:rFonts w:asciiTheme="minorHAnsi" w:eastAsia="Times New Roman" w:hAnsiTheme="minorHAnsi" w:cstheme="minorHAnsi"/>
                <w:color w:val="000000"/>
                <w:sz w:val="18"/>
                <w:szCs w:val="18"/>
                <w:lang w:eastAsia="de-DE"/>
              </w:rPr>
              <w:t>8,9</w:t>
            </w:r>
          </w:p>
        </w:tc>
      </w:tr>
    </w:tbl>
    <w:p w:rsidR="002752F3" w:rsidRDefault="002752F3" w:rsidP="002752F3">
      <w:pPr>
        <w:spacing w:after="0" w:line="240" w:lineRule="auto"/>
        <w:jc w:val="both"/>
        <w:rPr>
          <w:rFonts w:asciiTheme="minorHAnsi" w:eastAsia="Arial" w:hAnsiTheme="minorHAnsi" w:cs="Arial"/>
          <w:color w:val="000000"/>
        </w:rPr>
      </w:pPr>
    </w:p>
    <w:p w:rsidR="002752F3" w:rsidRDefault="002752F3" w:rsidP="00C3279F">
      <w:pPr>
        <w:pStyle w:val="Listenabsatz"/>
        <w:numPr>
          <w:ilvl w:val="0"/>
          <w:numId w:val="4"/>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Während </w:t>
      </w:r>
      <w:r w:rsidRPr="008E1A21">
        <w:rPr>
          <w:rFonts w:asciiTheme="minorHAnsi" w:eastAsia="Arial" w:hAnsiTheme="minorHAnsi" w:cs="Arial"/>
          <w:color w:val="000000"/>
        </w:rPr>
        <w:t xml:space="preserve">bundesweit die erledigten Beschlussverfahren, eingeleitet durch die Arbeitnehmerseite, </w:t>
      </w:r>
      <w:r w:rsidR="00C3279F">
        <w:rPr>
          <w:rFonts w:asciiTheme="minorHAnsi" w:eastAsia="Arial" w:hAnsiTheme="minorHAnsi" w:cs="Arial"/>
          <w:color w:val="000000"/>
        </w:rPr>
        <w:t>von</w:t>
      </w:r>
      <w:r w:rsidRPr="008E1A21">
        <w:rPr>
          <w:rFonts w:asciiTheme="minorHAnsi" w:eastAsia="Arial" w:hAnsiTheme="minorHAnsi" w:cs="Arial"/>
          <w:color w:val="000000"/>
        </w:rPr>
        <w:t xml:space="preserve"> 2013 </w:t>
      </w:r>
      <w:r w:rsidR="00C3279F">
        <w:rPr>
          <w:rFonts w:asciiTheme="minorHAnsi" w:eastAsia="Arial" w:hAnsiTheme="minorHAnsi" w:cs="Arial"/>
          <w:color w:val="000000"/>
        </w:rPr>
        <w:t xml:space="preserve">bis </w:t>
      </w:r>
      <w:r w:rsidRPr="008E1A21">
        <w:rPr>
          <w:rFonts w:asciiTheme="minorHAnsi" w:eastAsia="Arial" w:hAnsiTheme="minorHAnsi" w:cs="Arial"/>
          <w:color w:val="000000"/>
        </w:rPr>
        <w:t>2017</w:t>
      </w:r>
      <w:r>
        <w:rPr>
          <w:rFonts w:asciiTheme="minorHAnsi" w:eastAsia="Arial" w:hAnsiTheme="minorHAnsi" w:cs="Arial"/>
          <w:color w:val="000000"/>
        </w:rPr>
        <w:t xml:space="preserve"> relativ leicht steigt (+2,3 %), sinkt sie auf Arbeitgeberseite um 18,6 %.</w:t>
      </w:r>
    </w:p>
    <w:p w:rsidR="002752F3" w:rsidRDefault="002752F3" w:rsidP="00C3279F">
      <w:pPr>
        <w:pStyle w:val="Listenabsatz"/>
        <w:numPr>
          <w:ilvl w:val="1"/>
          <w:numId w:val="4"/>
        </w:numPr>
        <w:spacing w:after="0" w:line="240" w:lineRule="auto"/>
        <w:jc w:val="both"/>
        <w:rPr>
          <w:rFonts w:asciiTheme="minorHAnsi" w:eastAsia="Arial" w:hAnsiTheme="minorHAnsi" w:cs="Arial"/>
          <w:color w:val="000000"/>
        </w:rPr>
      </w:pPr>
      <w:r w:rsidRPr="002752F3">
        <w:rPr>
          <w:rFonts w:asciiTheme="minorHAnsi" w:eastAsia="Arial" w:hAnsiTheme="minorHAnsi" w:cs="Arial"/>
          <w:color w:val="000000"/>
        </w:rPr>
        <w:t>2013: AN: 8.731; AG: 3.078</w:t>
      </w:r>
    </w:p>
    <w:p w:rsidR="002752F3" w:rsidRPr="002752F3" w:rsidRDefault="002752F3" w:rsidP="00C3279F">
      <w:pPr>
        <w:pStyle w:val="Listenabsatz"/>
        <w:numPr>
          <w:ilvl w:val="1"/>
          <w:numId w:val="4"/>
        </w:numPr>
        <w:spacing w:after="0" w:line="240" w:lineRule="auto"/>
        <w:jc w:val="both"/>
        <w:rPr>
          <w:rFonts w:asciiTheme="minorHAnsi" w:eastAsia="Arial" w:hAnsiTheme="minorHAnsi" w:cs="Arial"/>
          <w:color w:val="000000"/>
        </w:rPr>
      </w:pPr>
      <w:r w:rsidRPr="002752F3">
        <w:rPr>
          <w:rFonts w:asciiTheme="minorHAnsi" w:eastAsia="Arial" w:hAnsiTheme="minorHAnsi" w:cs="Arial"/>
          <w:color w:val="000000"/>
        </w:rPr>
        <w:t>2017: AN: 8.935; AG: 2.486</w:t>
      </w:r>
    </w:p>
    <w:p w:rsidR="002752F3" w:rsidRDefault="002752F3" w:rsidP="00C3279F">
      <w:pPr>
        <w:pStyle w:val="Listenabsatz"/>
        <w:numPr>
          <w:ilvl w:val="0"/>
          <w:numId w:val="4"/>
        </w:numPr>
        <w:spacing w:after="0" w:line="240" w:lineRule="auto"/>
        <w:jc w:val="both"/>
        <w:rPr>
          <w:rFonts w:asciiTheme="minorHAnsi" w:eastAsia="Arial" w:hAnsiTheme="minorHAnsi" w:cs="Arial"/>
          <w:color w:val="000000"/>
        </w:rPr>
      </w:pPr>
      <w:r w:rsidRPr="008D023F">
        <w:rPr>
          <w:rFonts w:asciiTheme="minorHAnsi" w:eastAsia="Arial" w:hAnsiTheme="minorHAnsi" w:cs="Arial"/>
          <w:b/>
          <w:color w:val="000000"/>
        </w:rPr>
        <w:t>Die durchschnittliche Verfahrensdauer der Beschlussverfahren</w:t>
      </w:r>
      <w:r>
        <w:rPr>
          <w:rFonts w:asciiTheme="minorHAnsi" w:eastAsia="Arial" w:hAnsiTheme="minorHAnsi" w:cs="Arial"/>
          <w:color w:val="000000"/>
        </w:rPr>
        <w:t xml:space="preserve"> lag 2017 bei 4,2 Monaten und ist somit gegenüber 2007 (3,4 Monate) um 31,3 % gestiegen (s. Antwort auf Frage 10).</w:t>
      </w:r>
    </w:p>
    <w:p w:rsidR="002752F3" w:rsidRDefault="002752F3" w:rsidP="00C3279F">
      <w:pPr>
        <w:pStyle w:val="Listenabsatz"/>
        <w:numPr>
          <w:ilvl w:val="0"/>
          <w:numId w:val="4"/>
        </w:numPr>
        <w:spacing w:after="0" w:line="240" w:lineRule="auto"/>
        <w:jc w:val="both"/>
        <w:rPr>
          <w:rFonts w:asciiTheme="minorHAnsi" w:eastAsia="Arial" w:hAnsiTheme="minorHAnsi" w:cs="Arial"/>
          <w:color w:val="000000"/>
        </w:rPr>
      </w:pPr>
      <w:r w:rsidRPr="002752F3">
        <w:rPr>
          <w:rFonts w:asciiTheme="minorHAnsi" w:eastAsia="Arial" w:hAnsiTheme="minorHAnsi" w:cs="Arial"/>
          <w:color w:val="000000"/>
        </w:rPr>
        <w:t xml:space="preserve">Zwischen 2007 und 2017 kam es zu </w:t>
      </w:r>
      <w:r w:rsidRPr="002752F3">
        <w:rPr>
          <w:rFonts w:asciiTheme="minorHAnsi" w:eastAsia="Arial" w:hAnsiTheme="minorHAnsi" w:cs="Arial"/>
          <w:b/>
          <w:color w:val="000000"/>
        </w:rPr>
        <w:t xml:space="preserve">69 Aburteilungen nach einer Strafverfolgung nach dem Betriebsverfassungsgesetz </w:t>
      </w:r>
      <w:r w:rsidRPr="002752F3">
        <w:rPr>
          <w:rFonts w:asciiTheme="minorHAnsi" w:eastAsia="Arial" w:hAnsiTheme="minorHAnsi" w:cs="Arial"/>
          <w:color w:val="000000"/>
        </w:rPr>
        <w:t>(s. Antwort auf Frage 11):</w:t>
      </w:r>
    </w:p>
    <w:p w:rsidR="002752F3" w:rsidRDefault="002752F3" w:rsidP="00C3279F">
      <w:pPr>
        <w:pStyle w:val="Listenabsatz"/>
        <w:numPr>
          <w:ilvl w:val="1"/>
          <w:numId w:val="4"/>
        </w:numPr>
        <w:spacing w:after="0" w:line="240" w:lineRule="auto"/>
        <w:jc w:val="both"/>
        <w:rPr>
          <w:rFonts w:asciiTheme="minorHAnsi" w:eastAsia="Arial" w:hAnsiTheme="minorHAnsi" w:cs="Arial"/>
          <w:color w:val="000000"/>
        </w:rPr>
      </w:pPr>
      <w:r w:rsidRPr="002752F3">
        <w:rPr>
          <w:rFonts w:asciiTheme="minorHAnsi" w:eastAsia="Arial" w:hAnsiTheme="minorHAnsi" w:cs="Arial"/>
          <w:color w:val="000000"/>
        </w:rPr>
        <w:t>In 71 % der Fälle wurde das Verfahren eingestellt: 49 von 69</w:t>
      </w:r>
    </w:p>
    <w:p w:rsidR="002752F3" w:rsidRDefault="002752F3" w:rsidP="00C3279F">
      <w:pPr>
        <w:pStyle w:val="Listenabsatz"/>
        <w:numPr>
          <w:ilvl w:val="1"/>
          <w:numId w:val="4"/>
        </w:numPr>
        <w:spacing w:after="0" w:line="240" w:lineRule="auto"/>
        <w:jc w:val="both"/>
        <w:rPr>
          <w:rFonts w:asciiTheme="minorHAnsi" w:eastAsia="Arial" w:hAnsiTheme="minorHAnsi" w:cs="Arial"/>
          <w:color w:val="000000"/>
        </w:rPr>
      </w:pPr>
      <w:r w:rsidRPr="002752F3">
        <w:rPr>
          <w:rFonts w:asciiTheme="minorHAnsi" w:eastAsia="Arial" w:hAnsiTheme="minorHAnsi" w:cs="Arial"/>
          <w:color w:val="000000"/>
        </w:rPr>
        <w:t>In 7,3 % der Fälle kam es zu einem Freispruch: 5 von 69</w:t>
      </w:r>
    </w:p>
    <w:p w:rsidR="002752F3" w:rsidRDefault="002752F3" w:rsidP="00C3279F">
      <w:pPr>
        <w:pStyle w:val="Listenabsatz"/>
        <w:numPr>
          <w:ilvl w:val="1"/>
          <w:numId w:val="4"/>
        </w:numPr>
        <w:spacing w:after="0" w:line="240" w:lineRule="auto"/>
        <w:jc w:val="both"/>
        <w:rPr>
          <w:rFonts w:asciiTheme="minorHAnsi" w:eastAsia="Arial" w:hAnsiTheme="minorHAnsi" w:cs="Arial"/>
          <w:color w:val="000000"/>
        </w:rPr>
      </w:pPr>
      <w:r w:rsidRPr="002752F3">
        <w:rPr>
          <w:rFonts w:asciiTheme="minorHAnsi" w:eastAsia="Arial" w:hAnsiTheme="minorHAnsi" w:cs="Arial"/>
          <w:color w:val="000000"/>
        </w:rPr>
        <w:t>In 20,3 % Der Fälle wurde eine Geldstrafe ausgesprochen: 14 von 69</w:t>
      </w:r>
    </w:p>
    <w:p w:rsidR="002752F3" w:rsidRDefault="002752F3" w:rsidP="00C3279F">
      <w:pPr>
        <w:pStyle w:val="Listenabsatz"/>
        <w:numPr>
          <w:ilvl w:val="0"/>
          <w:numId w:val="5"/>
        </w:numPr>
        <w:spacing w:after="0" w:line="240" w:lineRule="auto"/>
        <w:jc w:val="both"/>
        <w:rPr>
          <w:rFonts w:asciiTheme="minorHAnsi" w:eastAsia="Arial" w:hAnsiTheme="minorHAnsi" w:cs="Arial"/>
          <w:color w:val="000000"/>
        </w:rPr>
      </w:pPr>
      <w:r w:rsidRPr="002752F3">
        <w:rPr>
          <w:rFonts w:asciiTheme="minorHAnsi" w:eastAsia="Arial" w:hAnsiTheme="minorHAnsi" w:cs="Arial"/>
          <w:b/>
          <w:color w:val="000000"/>
        </w:rPr>
        <w:t xml:space="preserve">80% der Strafverfahren nach § 119 Absatz 2 BetrVG im Land Nordrhein-Westfalen wurden eingestellt </w:t>
      </w:r>
      <w:r w:rsidRPr="002752F3">
        <w:rPr>
          <w:rFonts w:asciiTheme="minorHAnsi" w:eastAsia="Arial" w:hAnsiTheme="minorHAnsi" w:cs="Arial"/>
          <w:color w:val="000000"/>
        </w:rPr>
        <w:t xml:space="preserve">s. Antwort auf Frage 12):  </w:t>
      </w:r>
    </w:p>
    <w:p w:rsidR="002752F3" w:rsidRDefault="002752F3" w:rsidP="00C3279F">
      <w:pPr>
        <w:pStyle w:val="Listenabsatz"/>
        <w:numPr>
          <w:ilvl w:val="1"/>
          <w:numId w:val="5"/>
        </w:numPr>
        <w:spacing w:after="0" w:line="240" w:lineRule="auto"/>
        <w:jc w:val="both"/>
        <w:rPr>
          <w:rFonts w:asciiTheme="minorHAnsi" w:eastAsia="Arial" w:hAnsiTheme="minorHAnsi" w:cs="Arial"/>
          <w:color w:val="000000"/>
        </w:rPr>
      </w:pPr>
      <w:r w:rsidRPr="002752F3">
        <w:rPr>
          <w:rFonts w:asciiTheme="minorHAnsi" w:eastAsia="Arial" w:hAnsiTheme="minorHAnsi" w:cs="Arial"/>
          <w:color w:val="000000"/>
        </w:rPr>
        <w:lastRenderedPageBreak/>
        <w:t xml:space="preserve">In den Jahren von 2015 bis 2017 sind in NRW 47 Strafanzeigen nach § 119 Absatz 2 BetrVG gestellt worden, 38 davon wurden eingestellt. </w:t>
      </w:r>
    </w:p>
    <w:p w:rsidR="002752F3" w:rsidRPr="002752F3" w:rsidRDefault="002752F3" w:rsidP="00C3279F">
      <w:pPr>
        <w:pStyle w:val="Listenabsatz"/>
        <w:numPr>
          <w:ilvl w:val="1"/>
          <w:numId w:val="5"/>
        </w:numPr>
        <w:spacing w:after="0" w:line="240" w:lineRule="auto"/>
        <w:jc w:val="both"/>
        <w:rPr>
          <w:rFonts w:asciiTheme="minorHAnsi" w:eastAsia="Arial" w:hAnsiTheme="minorHAnsi" w:cs="Arial"/>
          <w:color w:val="000000"/>
        </w:rPr>
      </w:pPr>
      <w:r w:rsidRPr="002752F3">
        <w:rPr>
          <w:rFonts w:asciiTheme="minorHAnsi" w:eastAsia="Arial" w:hAnsiTheme="minorHAnsi" w:cs="Arial"/>
          <w:color w:val="000000"/>
        </w:rPr>
        <w:t xml:space="preserve">Inwiefern Ordnungswidrigkeiten nach § 121 BetrVG festgestellt und verfolgt wurden, darüber liegen der Bundesregierung keine Erkenntnisse vor  </w:t>
      </w:r>
    </w:p>
    <w:p w:rsidR="002752F3" w:rsidRDefault="002752F3" w:rsidP="00C3279F">
      <w:pPr>
        <w:pStyle w:val="Listenabsatz"/>
        <w:numPr>
          <w:ilvl w:val="0"/>
          <w:numId w:val="5"/>
        </w:numPr>
        <w:spacing w:after="0" w:line="240" w:lineRule="auto"/>
        <w:jc w:val="both"/>
        <w:rPr>
          <w:rFonts w:asciiTheme="minorHAnsi" w:eastAsia="Arial" w:hAnsiTheme="minorHAnsi" w:cs="Arial"/>
          <w:b/>
          <w:color w:val="000000"/>
        </w:rPr>
      </w:pPr>
      <w:r w:rsidRPr="00067DEE">
        <w:rPr>
          <w:rFonts w:asciiTheme="minorHAnsi" w:eastAsia="Arial" w:hAnsiTheme="minorHAnsi" w:cs="Arial"/>
          <w:b/>
          <w:color w:val="000000"/>
        </w:rPr>
        <w:t xml:space="preserve">Der Bundesregierung liegen keine eigenen Erkenntnisse darüber </w:t>
      </w:r>
      <w:r>
        <w:rPr>
          <w:rFonts w:asciiTheme="minorHAnsi" w:eastAsia="Arial" w:hAnsiTheme="minorHAnsi" w:cs="Arial"/>
          <w:b/>
          <w:color w:val="000000"/>
        </w:rPr>
        <w:t>vor:</w:t>
      </w:r>
    </w:p>
    <w:p w:rsidR="002752F3" w:rsidRDefault="002752F3" w:rsidP="00C3279F">
      <w:pPr>
        <w:pStyle w:val="Listenabsatz"/>
        <w:numPr>
          <w:ilvl w:val="1"/>
          <w:numId w:val="5"/>
        </w:numPr>
        <w:spacing w:after="0" w:line="240" w:lineRule="auto"/>
        <w:jc w:val="both"/>
        <w:rPr>
          <w:rFonts w:asciiTheme="minorHAnsi" w:eastAsia="Arial" w:hAnsiTheme="minorHAnsi" w:cs="Arial"/>
          <w:b/>
          <w:color w:val="000000"/>
        </w:rPr>
      </w:pPr>
      <w:r w:rsidRPr="002752F3">
        <w:rPr>
          <w:rFonts w:asciiTheme="minorHAnsi" w:hAnsiTheme="minorHAnsi" w:cs="Arial"/>
        </w:rPr>
        <w:t>inwiefern die Wahlen von Betriebsräten durch Arbeitgeber behindert werden (siehe Antworten auf Fragen 7).</w:t>
      </w:r>
    </w:p>
    <w:p w:rsidR="002752F3" w:rsidRDefault="002752F3" w:rsidP="00C3279F">
      <w:pPr>
        <w:pStyle w:val="Listenabsatz"/>
        <w:numPr>
          <w:ilvl w:val="1"/>
          <w:numId w:val="5"/>
        </w:numPr>
        <w:spacing w:after="0" w:line="240" w:lineRule="auto"/>
        <w:jc w:val="both"/>
        <w:rPr>
          <w:rFonts w:asciiTheme="minorHAnsi" w:eastAsia="Arial" w:hAnsiTheme="minorHAnsi" w:cs="Arial"/>
          <w:b/>
          <w:color w:val="000000"/>
        </w:rPr>
      </w:pPr>
      <w:r w:rsidRPr="002752F3">
        <w:rPr>
          <w:rFonts w:asciiTheme="minorHAnsi" w:eastAsia="Arial" w:hAnsiTheme="minorHAnsi" w:cs="Arial"/>
          <w:color w:val="000000"/>
        </w:rPr>
        <w:t>Über Anzahl von Beschäftigten in Tendenzbetrieben, Religionsgemeinschaften und ihren karitativen und erzieherischen Einrichtungen (s. Antwort auf Frage 8).</w:t>
      </w:r>
    </w:p>
    <w:p w:rsidR="002752F3" w:rsidRDefault="002752F3" w:rsidP="00C3279F">
      <w:pPr>
        <w:pStyle w:val="Listenabsatz"/>
        <w:numPr>
          <w:ilvl w:val="0"/>
          <w:numId w:val="6"/>
        </w:numPr>
        <w:spacing w:after="0" w:line="240" w:lineRule="auto"/>
        <w:jc w:val="both"/>
        <w:rPr>
          <w:rFonts w:asciiTheme="minorHAnsi" w:eastAsia="Arial" w:hAnsiTheme="minorHAnsi" w:cs="Arial"/>
          <w:b/>
          <w:color w:val="000000"/>
        </w:rPr>
      </w:pPr>
      <w:r w:rsidRPr="002752F3">
        <w:rPr>
          <w:rFonts w:asciiTheme="minorHAnsi" w:eastAsia="Arial" w:hAnsiTheme="minorHAnsi" w:cs="Arial"/>
          <w:color w:val="000000"/>
        </w:rPr>
        <w:t>Die Bundesregierung beabsichtigt, mit dem Verweis auf den Koalitionsvertrag die Anwendung des vereinfachten Wahlverfahrens auszuweiten und dadurch der Behinderung von Betriebsratswahlen entgegenzuwirken (s. Antwort auf Frage 13 und 14).</w:t>
      </w:r>
    </w:p>
    <w:p w:rsidR="002752F3" w:rsidRDefault="002752F3" w:rsidP="00C3279F">
      <w:pPr>
        <w:pStyle w:val="Listenabsatz"/>
        <w:numPr>
          <w:ilvl w:val="0"/>
          <w:numId w:val="6"/>
        </w:numPr>
        <w:spacing w:after="0" w:line="240" w:lineRule="auto"/>
        <w:jc w:val="both"/>
        <w:rPr>
          <w:rFonts w:asciiTheme="minorHAnsi" w:eastAsia="Arial" w:hAnsiTheme="minorHAnsi" w:cs="Arial"/>
          <w:b/>
          <w:color w:val="000000"/>
        </w:rPr>
      </w:pPr>
      <w:r w:rsidRPr="002752F3">
        <w:rPr>
          <w:rFonts w:asciiTheme="minorHAnsi" w:eastAsia="Arial" w:hAnsiTheme="minorHAnsi" w:cs="Arial"/>
          <w:color w:val="000000"/>
        </w:rPr>
        <w:t xml:space="preserve">Die Bundesregierung teilt im Rahmen der Dachevaluation der Gemeinsamen Deutschen Arbeitsschutzstrategie mit, </w:t>
      </w:r>
      <w:r w:rsidRPr="002752F3">
        <w:rPr>
          <w:rFonts w:asciiTheme="minorHAnsi" w:eastAsia="Arial" w:hAnsiTheme="minorHAnsi" w:cs="Arial"/>
          <w:b/>
          <w:color w:val="000000"/>
        </w:rPr>
        <w:t>dass</w:t>
      </w:r>
      <w:r w:rsidRPr="002752F3">
        <w:rPr>
          <w:rFonts w:asciiTheme="minorHAnsi" w:eastAsia="Arial" w:hAnsiTheme="minorHAnsi" w:cs="Arial"/>
          <w:color w:val="000000"/>
        </w:rPr>
        <w:t xml:space="preserve"> </w:t>
      </w:r>
      <w:r w:rsidRPr="002752F3">
        <w:rPr>
          <w:rFonts w:asciiTheme="minorHAnsi" w:eastAsia="Arial" w:hAnsiTheme="minorHAnsi" w:cs="Arial"/>
          <w:b/>
          <w:color w:val="000000"/>
        </w:rPr>
        <w:t>die Existenz eines Betriebsrats zu folgenden positiven Gegebenheiten führen</w:t>
      </w:r>
      <w:r w:rsidRPr="002752F3">
        <w:rPr>
          <w:rFonts w:asciiTheme="minorHAnsi" w:eastAsia="Arial" w:hAnsiTheme="minorHAnsi" w:cs="Arial"/>
          <w:color w:val="000000"/>
        </w:rPr>
        <w:t xml:space="preserve"> (s. Antwort auf Frage 16 bis 18):</w:t>
      </w:r>
    </w:p>
    <w:p w:rsidR="002752F3" w:rsidRDefault="002752F3" w:rsidP="00C3279F">
      <w:pPr>
        <w:pStyle w:val="Listenabsatz"/>
        <w:numPr>
          <w:ilvl w:val="1"/>
          <w:numId w:val="6"/>
        </w:numPr>
        <w:spacing w:after="0" w:line="240" w:lineRule="auto"/>
        <w:jc w:val="both"/>
        <w:rPr>
          <w:rFonts w:asciiTheme="minorHAnsi" w:eastAsia="Arial" w:hAnsiTheme="minorHAnsi" w:cs="Arial"/>
          <w:b/>
          <w:color w:val="000000"/>
        </w:rPr>
      </w:pPr>
      <w:r w:rsidRPr="002752F3">
        <w:rPr>
          <w:rFonts w:asciiTheme="minorHAnsi" w:eastAsia="Arial" w:hAnsiTheme="minorHAnsi" w:cs="Arial"/>
          <w:color w:val="000000"/>
        </w:rPr>
        <w:t>Eine höhere Wahrscheinlichkeit der Durchführung von Gefährdungsbeurteilungen,</w:t>
      </w:r>
    </w:p>
    <w:p w:rsidR="002752F3" w:rsidRDefault="002752F3" w:rsidP="00C3279F">
      <w:pPr>
        <w:pStyle w:val="Listenabsatz"/>
        <w:numPr>
          <w:ilvl w:val="1"/>
          <w:numId w:val="6"/>
        </w:numPr>
        <w:spacing w:after="0" w:line="240" w:lineRule="auto"/>
        <w:jc w:val="both"/>
        <w:rPr>
          <w:rFonts w:asciiTheme="minorHAnsi" w:eastAsia="Arial" w:hAnsiTheme="minorHAnsi" w:cs="Arial"/>
          <w:b/>
          <w:color w:val="000000"/>
        </w:rPr>
      </w:pPr>
      <w:r w:rsidRPr="002752F3">
        <w:rPr>
          <w:rFonts w:asciiTheme="minorHAnsi" w:eastAsia="Arial" w:hAnsiTheme="minorHAnsi" w:cs="Arial"/>
          <w:color w:val="000000"/>
        </w:rPr>
        <w:t>Ein höherer Anteil bei der sicherheitstechnischen Betreuung,</w:t>
      </w:r>
    </w:p>
    <w:p w:rsidR="002752F3" w:rsidRDefault="002752F3" w:rsidP="00C3279F">
      <w:pPr>
        <w:pStyle w:val="Listenabsatz"/>
        <w:numPr>
          <w:ilvl w:val="1"/>
          <w:numId w:val="6"/>
        </w:numPr>
        <w:spacing w:after="0" w:line="240" w:lineRule="auto"/>
        <w:jc w:val="both"/>
        <w:rPr>
          <w:rFonts w:asciiTheme="minorHAnsi" w:eastAsia="Arial" w:hAnsiTheme="minorHAnsi" w:cs="Arial"/>
          <w:b/>
          <w:color w:val="000000"/>
        </w:rPr>
      </w:pPr>
      <w:r w:rsidRPr="002752F3">
        <w:rPr>
          <w:rFonts w:asciiTheme="minorHAnsi" w:eastAsia="Arial" w:hAnsiTheme="minorHAnsi" w:cs="Arial"/>
          <w:color w:val="000000"/>
        </w:rPr>
        <w:t>Ein höherer Grad an Unterweisung der Beschäftigten sowie bei der Qualifizierung von Führungskräften sowie</w:t>
      </w:r>
    </w:p>
    <w:p w:rsidR="002752F3" w:rsidRPr="00C3279F" w:rsidRDefault="002752F3" w:rsidP="00C3279F">
      <w:pPr>
        <w:pStyle w:val="Listenabsatz"/>
        <w:numPr>
          <w:ilvl w:val="1"/>
          <w:numId w:val="6"/>
        </w:numPr>
        <w:spacing w:after="0" w:line="240" w:lineRule="auto"/>
        <w:jc w:val="both"/>
        <w:rPr>
          <w:rFonts w:asciiTheme="minorHAnsi" w:eastAsia="Arial" w:hAnsiTheme="minorHAnsi" w:cs="Arial"/>
          <w:b/>
          <w:color w:val="000000"/>
        </w:rPr>
      </w:pPr>
      <w:r w:rsidRPr="002752F3">
        <w:rPr>
          <w:rFonts w:asciiTheme="minorHAnsi" w:eastAsia="Arial" w:hAnsiTheme="minorHAnsi" w:cs="Arial"/>
          <w:color w:val="000000"/>
        </w:rPr>
        <w:t>Eine höhere Wahrscheinlichkeit der Existenz eines Arbeitsschutzausschusses.</w:t>
      </w:r>
    </w:p>
    <w:sectPr w:rsidR="002752F3" w:rsidRPr="00C3279F" w:rsidSect="0064747A">
      <w:headerReference w:type="default" r:id="rId9"/>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0B9" w:rsidRDefault="00BA40B9" w:rsidP="003D29BC">
      <w:pPr>
        <w:spacing w:after="0" w:line="240" w:lineRule="auto"/>
      </w:pPr>
      <w:r>
        <w:separator/>
      </w:r>
    </w:p>
  </w:endnote>
  <w:endnote w:type="continuationSeparator" w:id="0">
    <w:p w:rsidR="00BA40B9" w:rsidRDefault="00BA40B9" w:rsidP="003D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928896"/>
      <w:docPartObj>
        <w:docPartGallery w:val="Page Numbers (Bottom of Page)"/>
        <w:docPartUnique/>
      </w:docPartObj>
    </w:sdtPr>
    <w:sdtEndPr/>
    <w:sdtContent>
      <w:p w:rsidR="00BA40B9" w:rsidRDefault="00BA40B9">
        <w:pPr>
          <w:pStyle w:val="Fuzeile"/>
          <w:jc w:val="center"/>
        </w:pPr>
        <w:r>
          <w:fldChar w:fldCharType="begin"/>
        </w:r>
        <w:r>
          <w:instrText>PAGE   \* MERGEFORMAT</w:instrText>
        </w:r>
        <w:r>
          <w:fldChar w:fldCharType="separate"/>
        </w:r>
        <w:r w:rsidR="000903F5">
          <w:rPr>
            <w:noProof/>
          </w:rPr>
          <w:t>4</w:t>
        </w:r>
        <w:r>
          <w:fldChar w:fldCharType="end"/>
        </w:r>
      </w:p>
    </w:sdtContent>
  </w:sdt>
  <w:p w:rsidR="00BA40B9" w:rsidRDefault="00BA40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0B9" w:rsidRDefault="00BA40B9" w:rsidP="003D29BC">
      <w:pPr>
        <w:spacing w:after="0" w:line="240" w:lineRule="auto"/>
      </w:pPr>
      <w:r>
        <w:separator/>
      </w:r>
    </w:p>
  </w:footnote>
  <w:footnote w:type="continuationSeparator" w:id="0">
    <w:p w:rsidR="00BA40B9" w:rsidRDefault="00BA40B9" w:rsidP="003D2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0B9" w:rsidRPr="006D0E89" w:rsidRDefault="00BA40B9" w:rsidP="006D0E89">
    <w:pPr>
      <w:pStyle w:val="Kopfzeile"/>
      <w:jc w:val="right"/>
      <w:rPr>
        <w:color w:val="808080" w:themeColor="background1" w:themeShade="80"/>
      </w:rPr>
    </w:pPr>
    <w:r w:rsidRPr="00B74F50">
      <w:rPr>
        <w:color w:val="808080" w:themeColor="background1" w:themeShade="80"/>
      </w:rPr>
      <w:t>MdB-Büro J</w:t>
    </w:r>
    <w:r>
      <w:rPr>
        <w:color w:val="808080" w:themeColor="background1" w:themeShade="80"/>
      </w:rPr>
      <w:t xml:space="preserve">utta </w:t>
    </w:r>
    <w:r w:rsidR="00946C3E">
      <w:rPr>
        <w:color w:val="808080" w:themeColor="background1" w:themeShade="80"/>
      </w:rPr>
      <w:t>Krellmann (</w:t>
    </w:r>
    <w:r w:rsidR="002F5119">
      <w:rPr>
        <w:color w:val="808080" w:themeColor="background1" w:themeShade="80"/>
      </w:rPr>
      <w:t>Bülent Kilavuz</w:t>
    </w:r>
    <w:r w:rsidR="00602734">
      <w:rPr>
        <w:color w:val="808080" w:themeColor="background1" w:themeShade="80"/>
      </w:rPr>
      <w:t>/Hannes Strobel, 17</w:t>
    </w:r>
    <w:r>
      <w:rPr>
        <w:color w:val="808080" w:themeColor="background1" w:themeShade="80"/>
      </w:rPr>
      <w:t>.07.19)</w:t>
    </w:r>
    <w:r w:rsidRPr="00B74F50">
      <w:rPr>
        <w:color w:val="808080" w:themeColor="background1" w:themeShade="80"/>
      </w:rPr>
      <w:tab/>
    </w:r>
    <w:r w:rsidRPr="00B74F50">
      <w:rPr>
        <w:noProof/>
        <w:color w:val="808080" w:themeColor="background1" w:themeShade="80"/>
        <w:lang w:eastAsia="de-DE"/>
      </w:rPr>
      <w:drawing>
        <wp:inline distT="0" distB="0" distL="0" distR="0" wp14:anchorId="1F61A45E" wp14:editId="7FEB5E25">
          <wp:extent cx="695325" cy="260603"/>
          <wp:effectExtent l="0" t="0" r="0" b="6350"/>
          <wp:docPr id="2" name="Grafik 2" descr="\\PARLAMENT\Benutzer\krellmajuma02\_unverschluesselt\Benutzerprofil\Desktop\LOGO LINKSFRAK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MENT\Benutzer\krellmajuma02\_unverschluesselt\Benutzerprofil\Desktop\LOGO LINKSFRAK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244" cy="266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049D0"/>
    <w:multiLevelType w:val="hybridMultilevel"/>
    <w:tmpl w:val="662616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762FBB"/>
    <w:multiLevelType w:val="hybridMultilevel"/>
    <w:tmpl w:val="F4945D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DC217F"/>
    <w:multiLevelType w:val="hybridMultilevel"/>
    <w:tmpl w:val="687CFC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9D6362"/>
    <w:multiLevelType w:val="hybridMultilevel"/>
    <w:tmpl w:val="EB4C60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805A0D"/>
    <w:multiLevelType w:val="hybridMultilevel"/>
    <w:tmpl w:val="C58AC5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B7503A"/>
    <w:multiLevelType w:val="hybridMultilevel"/>
    <w:tmpl w:val="1B38B6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10"/>
    <w:rsid w:val="0000678E"/>
    <w:rsid w:val="0001284F"/>
    <w:rsid w:val="00013FB5"/>
    <w:rsid w:val="00015149"/>
    <w:rsid w:val="00015717"/>
    <w:rsid w:val="00016639"/>
    <w:rsid w:val="0001683E"/>
    <w:rsid w:val="00020AF6"/>
    <w:rsid w:val="00030433"/>
    <w:rsid w:val="00032FC2"/>
    <w:rsid w:val="00033E40"/>
    <w:rsid w:val="00034E07"/>
    <w:rsid w:val="0003639F"/>
    <w:rsid w:val="00037FF2"/>
    <w:rsid w:val="00040D82"/>
    <w:rsid w:val="000422B1"/>
    <w:rsid w:val="00042F71"/>
    <w:rsid w:val="00047488"/>
    <w:rsid w:val="00047E21"/>
    <w:rsid w:val="00050E05"/>
    <w:rsid w:val="0005135E"/>
    <w:rsid w:val="00051756"/>
    <w:rsid w:val="00055365"/>
    <w:rsid w:val="00056E26"/>
    <w:rsid w:val="000614AB"/>
    <w:rsid w:val="00063C5E"/>
    <w:rsid w:val="00065735"/>
    <w:rsid w:val="00067DEE"/>
    <w:rsid w:val="00074CFE"/>
    <w:rsid w:val="00076F2E"/>
    <w:rsid w:val="00077821"/>
    <w:rsid w:val="00081F43"/>
    <w:rsid w:val="000832A8"/>
    <w:rsid w:val="00083E66"/>
    <w:rsid w:val="000903F5"/>
    <w:rsid w:val="0009061A"/>
    <w:rsid w:val="000911E1"/>
    <w:rsid w:val="00096FE7"/>
    <w:rsid w:val="000A00A0"/>
    <w:rsid w:val="000A0822"/>
    <w:rsid w:val="000A376C"/>
    <w:rsid w:val="000A4223"/>
    <w:rsid w:val="000A53B0"/>
    <w:rsid w:val="000A58DC"/>
    <w:rsid w:val="000A7376"/>
    <w:rsid w:val="000B017D"/>
    <w:rsid w:val="000B17A9"/>
    <w:rsid w:val="000B22F1"/>
    <w:rsid w:val="000B5520"/>
    <w:rsid w:val="000B7125"/>
    <w:rsid w:val="000C0876"/>
    <w:rsid w:val="000C3E02"/>
    <w:rsid w:val="000D0C66"/>
    <w:rsid w:val="000D211B"/>
    <w:rsid w:val="000D5A8D"/>
    <w:rsid w:val="000D7433"/>
    <w:rsid w:val="000E1D7D"/>
    <w:rsid w:val="000E40AC"/>
    <w:rsid w:val="000E426C"/>
    <w:rsid w:val="000E6972"/>
    <w:rsid w:val="000E6F7B"/>
    <w:rsid w:val="000F14F9"/>
    <w:rsid w:val="000F51A7"/>
    <w:rsid w:val="000F60EE"/>
    <w:rsid w:val="001008BC"/>
    <w:rsid w:val="00100B5C"/>
    <w:rsid w:val="0011122A"/>
    <w:rsid w:val="00112D8A"/>
    <w:rsid w:val="00113769"/>
    <w:rsid w:val="001177E2"/>
    <w:rsid w:val="00117EF5"/>
    <w:rsid w:val="00125EF0"/>
    <w:rsid w:val="00127983"/>
    <w:rsid w:val="0013346B"/>
    <w:rsid w:val="00134F87"/>
    <w:rsid w:val="00135BA4"/>
    <w:rsid w:val="00137549"/>
    <w:rsid w:val="00141538"/>
    <w:rsid w:val="00142445"/>
    <w:rsid w:val="001429D5"/>
    <w:rsid w:val="00143E00"/>
    <w:rsid w:val="001456D6"/>
    <w:rsid w:val="001462DE"/>
    <w:rsid w:val="001463A7"/>
    <w:rsid w:val="00147D99"/>
    <w:rsid w:val="00152DC4"/>
    <w:rsid w:val="0015395E"/>
    <w:rsid w:val="00153FC4"/>
    <w:rsid w:val="001670BC"/>
    <w:rsid w:val="00170F30"/>
    <w:rsid w:val="001714B6"/>
    <w:rsid w:val="00175210"/>
    <w:rsid w:val="0018013E"/>
    <w:rsid w:val="001820DF"/>
    <w:rsid w:val="00182F53"/>
    <w:rsid w:val="00191D55"/>
    <w:rsid w:val="00196101"/>
    <w:rsid w:val="0019648A"/>
    <w:rsid w:val="001A1239"/>
    <w:rsid w:val="001A4213"/>
    <w:rsid w:val="001A4639"/>
    <w:rsid w:val="001A6E96"/>
    <w:rsid w:val="001B0FAA"/>
    <w:rsid w:val="001B1DEB"/>
    <w:rsid w:val="001B2633"/>
    <w:rsid w:val="001B31AA"/>
    <w:rsid w:val="001B4A95"/>
    <w:rsid w:val="001B6FF1"/>
    <w:rsid w:val="001C02EB"/>
    <w:rsid w:val="001C0720"/>
    <w:rsid w:val="001C1997"/>
    <w:rsid w:val="001C42BB"/>
    <w:rsid w:val="001D0976"/>
    <w:rsid w:val="001D50CD"/>
    <w:rsid w:val="001D620A"/>
    <w:rsid w:val="001D72EB"/>
    <w:rsid w:val="001D73F8"/>
    <w:rsid w:val="001E0FFA"/>
    <w:rsid w:val="001E1B96"/>
    <w:rsid w:val="001E2E5F"/>
    <w:rsid w:val="001E7D59"/>
    <w:rsid w:val="001F1120"/>
    <w:rsid w:val="001F2D7E"/>
    <w:rsid w:val="001F3E88"/>
    <w:rsid w:val="00202C67"/>
    <w:rsid w:val="00205A6E"/>
    <w:rsid w:val="00207019"/>
    <w:rsid w:val="0021084F"/>
    <w:rsid w:val="0021086D"/>
    <w:rsid w:val="002111BF"/>
    <w:rsid w:val="00213DFD"/>
    <w:rsid w:val="002154C2"/>
    <w:rsid w:val="0021716E"/>
    <w:rsid w:val="00222B12"/>
    <w:rsid w:val="00230E71"/>
    <w:rsid w:val="00230EFD"/>
    <w:rsid w:val="002322F8"/>
    <w:rsid w:val="002366A5"/>
    <w:rsid w:val="002379A6"/>
    <w:rsid w:val="00237F73"/>
    <w:rsid w:val="00243248"/>
    <w:rsid w:val="002527C5"/>
    <w:rsid w:val="002532C6"/>
    <w:rsid w:val="00253707"/>
    <w:rsid w:val="00254085"/>
    <w:rsid w:val="00256FCE"/>
    <w:rsid w:val="00256FE1"/>
    <w:rsid w:val="00260AC2"/>
    <w:rsid w:val="0026510A"/>
    <w:rsid w:val="002675D0"/>
    <w:rsid w:val="00271C4B"/>
    <w:rsid w:val="002738EA"/>
    <w:rsid w:val="002752F3"/>
    <w:rsid w:val="00275F6A"/>
    <w:rsid w:val="0027767C"/>
    <w:rsid w:val="002778E1"/>
    <w:rsid w:val="00277D0A"/>
    <w:rsid w:val="00280B11"/>
    <w:rsid w:val="0028221F"/>
    <w:rsid w:val="00282F77"/>
    <w:rsid w:val="00285E0E"/>
    <w:rsid w:val="00286933"/>
    <w:rsid w:val="00287E2A"/>
    <w:rsid w:val="00290E68"/>
    <w:rsid w:val="002933C1"/>
    <w:rsid w:val="002974D3"/>
    <w:rsid w:val="002A0F56"/>
    <w:rsid w:val="002A3DFE"/>
    <w:rsid w:val="002A53C0"/>
    <w:rsid w:val="002A6B30"/>
    <w:rsid w:val="002A7A6F"/>
    <w:rsid w:val="002B0B73"/>
    <w:rsid w:val="002B5E1A"/>
    <w:rsid w:val="002C29F5"/>
    <w:rsid w:val="002D2DDF"/>
    <w:rsid w:val="002D3BD1"/>
    <w:rsid w:val="002E11CD"/>
    <w:rsid w:val="002E5E34"/>
    <w:rsid w:val="002E6AC5"/>
    <w:rsid w:val="002F0AB5"/>
    <w:rsid w:val="002F15E5"/>
    <w:rsid w:val="002F5119"/>
    <w:rsid w:val="002F6A59"/>
    <w:rsid w:val="002F704E"/>
    <w:rsid w:val="00300777"/>
    <w:rsid w:val="003059B8"/>
    <w:rsid w:val="00306220"/>
    <w:rsid w:val="0030645B"/>
    <w:rsid w:val="00307AA0"/>
    <w:rsid w:val="003129E2"/>
    <w:rsid w:val="00313B3A"/>
    <w:rsid w:val="003150EE"/>
    <w:rsid w:val="003160B6"/>
    <w:rsid w:val="0031706B"/>
    <w:rsid w:val="003201AF"/>
    <w:rsid w:val="00320285"/>
    <w:rsid w:val="00325C54"/>
    <w:rsid w:val="00326242"/>
    <w:rsid w:val="00336201"/>
    <w:rsid w:val="003430FF"/>
    <w:rsid w:val="00350101"/>
    <w:rsid w:val="0036034D"/>
    <w:rsid w:val="003612DB"/>
    <w:rsid w:val="003627AF"/>
    <w:rsid w:val="00362FA1"/>
    <w:rsid w:val="003645C2"/>
    <w:rsid w:val="00364607"/>
    <w:rsid w:val="003652C3"/>
    <w:rsid w:val="003664AE"/>
    <w:rsid w:val="003719DD"/>
    <w:rsid w:val="003725A5"/>
    <w:rsid w:val="00375C50"/>
    <w:rsid w:val="00377890"/>
    <w:rsid w:val="003851BA"/>
    <w:rsid w:val="00390772"/>
    <w:rsid w:val="00391606"/>
    <w:rsid w:val="00393F65"/>
    <w:rsid w:val="003964D9"/>
    <w:rsid w:val="003A01C7"/>
    <w:rsid w:val="003A2CF3"/>
    <w:rsid w:val="003B14F1"/>
    <w:rsid w:val="003B19F1"/>
    <w:rsid w:val="003B1B4E"/>
    <w:rsid w:val="003B2011"/>
    <w:rsid w:val="003B4A5B"/>
    <w:rsid w:val="003B5C5D"/>
    <w:rsid w:val="003B7C9D"/>
    <w:rsid w:val="003C0936"/>
    <w:rsid w:val="003C16F3"/>
    <w:rsid w:val="003C2019"/>
    <w:rsid w:val="003C3A19"/>
    <w:rsid w:val="003C3F2C"/>
    <w:rsid w:val="003C4074"/>
    <w:rsid w:val="003C51F7"/>
    <w:rsid w:val="003C6B86"/>
    <w:rsid w:val="003C6CE7"/>
    <w:rsid w:val="003D1F67"/>
    <w:rsid w:val="003D29BC"/>
    <w:rsid w:val="003D2AE2"/>
    <w:rsid w:val="003D7C34"/>
    <w:rsid w:val="003E20C3"/>
    <w:rsid w:val="003E4B6D"/>
    <w:rsid w:val="003E509B"/>
    <w:rsid w:val="003E5A15"/>
    <w:rsid w:val="003E67AA"/>
    <w:rsid w:val="003E6920"/>
    <w:rsid w:val="003F052C"/>
    <w:rsid w:val="003F1DB7"/>
    <w:rsid w:val="00404BDA"/>
    <w:rsid w:val="004109CA"/>
    <w:rsid w:val="0041475F"/>
    <w:rsid w:val="00423C9B"/>
    <w:rsid w:val="00424FEA"/>
    <w:rsid w:val="004255DE"/>
    <w:rsid w:val="00425EAB"/>
    <w:rsid w:val="00430573"/>
    <w:rsid w:val="00434586"/>
    <w:rsid w:val="00434DD8"/>
    <w:rsid w:val="00444F52"/>
    <w:rsid w:val="004500E6"/>
    <w:rsid w:val="00450347"/>
    <w:rsid w:val="004503A1"/>
    <w:rsid w:val="004507A1"/>
    <w:rsid w:val="00450BBB"/>
    <w:rsid w:val="00453BBF"/>
    <w:rsid w:val="00455D29"/>
    <w:rsid w:val="00457B73"/>
    <w:rsid w:val="00460B2C"/>
    <w:rsid w:val="00460D3A"/>
    <w:rsid w:val="004611CB"/>
    <w:rsid w:val="00461524"/>
    <w:rsid w:val="004709E1"/>
    <w:rsid w:val="00473989"/>
    <w:rsid w:val="00473F7D"/>
    <w:rsid w:val="00475BBD"/>
    <w:rsid w:val="00476C5E"/>
    <w:rsid w:val="00483C53"/>
    <w:rsid w:val="00484431"/>
    <w:rsid w:val="00485265"/>
    <w:rsid w:val="00487F11"/>
    <w:rsid w:val="004977BF"/>
    <w:rsid w:val="004A1117"/>
    <w:rsid w:val="004A1987"/>
    <w:rsid w:val="004B0122"/>
    <w:rsid w:val="004B0699"/>
    <w:rsid w:val="004B2041"/>
    <w:rsid w:val="004B2963"/>
    <w:rsid w:val="004B68D3"/>
    <w:rsid w:val="004C18D8"/>
    <w:rsid w:val="004C6AA5"/>
    <w:rsid w:val="004C74F9"/>
    <w:rsid w:val="004C78F4"/>
    <w:rsid w:val="004D2326"/>
    <w:rsid w:val="004D2B3F"/>
    <w:rsid w:val="004D3A6D"/>
    <w:rsid w:val="004D49AB"/>
    <w:rsid w:val="004D5866"/>
    <w:rsid w:val="004E0530"/>
    <w:rsid w:val="004E1E70"/>
    <w:rsid w:val="004E243A"/>
    <w:rsid w:val="004E43D9"/>
    <w:rsid w:val="004E792E"/>
    <w:rsid w:val="004F0BEA"/>
    <w:rsid w:val="004F1110"/>
    <w:rsid w:val="004F6289"/>
    <w:rsid w:val="004F6488"/>
    <w:rsid w:val="0050674D"/>
    <w:rsid w:val="00515A44"/>
    <w:rsid w:val="005160E6"/>
    <w:rsid w:val="00517F03"/>
    <w:rsid w:val="00522DB9"/>
    <w:rsid w:val="00522ED4"/>
    <w:rsid w:val="00522F24"/>
    <w:rsid w:val="00525646"/>
    <w:rsid w:val="00525A51"/>
    <w:rsid w:val="00530167"/>
    <w:rsid w:val="00530B23"/>
    <w:rsid w:val="005364AD"/>
    <w:rsid w:val="005433A5"/>
    <w:rsid w:val="00543A66"/>
    <w:rsid w:val="005519C9"/>
    <w:rsid w:val="005519D7"/>
    <w:rsid w:val="005537E1"/>
    <w:rsid w:val="005539C5"/>
    <w:rsid w:val="00555425"/>
    <w:rsid w:val="0055575E"/>
    <w:rsid w:val="00555BEF"/>
    <w:rsid w:val="00555E03"/>
    <w:rsid w:val="00556332"/>
    <w:rsid w:val="00560961"/>
    <w:rsid w:val="00566717"/>
    <w:rsid w:val="00572557"/>
    <w:rsid w:val="00573F6A"/>
    <w:rsid w:val="00575F00"/>
    <w:rsid w:val="0058433D"/>
    <w:rsid w:val="005909B3"/>
    <w:rsid w:val="005938CC"/>
    <w:rsid w:val="00593DA2"/>
    <w:rsid w:val="0059440E"/>
    <w:rsid w:val="005944EE"/>
    <w:rsid w:val="00594BFA"/>
    <w:rsid w:val="005A140A"/>
    <w:rsid w:val="005A2846"/>
    <w:rsid w:val="005B0C1C"/>
    <w:rsid w:val="005B2163"/>
    <w:rsid w:val="005B2C4D"/>
    <w:rsid w:val="005B38E8"/>
    <w:rsid w:val="005B5BF2"/>
    <w:rsid w:val="005B68B7"/>
    <w:rsid w:val="005B7836"/>
    <w:rsid w:val="005C24D7"/>
    <w:rsid w:val="005C35A1"/>
    <w:rsid w:val="005C6C59"/>
    <w:rsid w:val="005C6DDD"/>
    <w:rsid w:val="005D012E"/>
    <w:rsid w:val="005D7062"/>
    <w:rsid w:val="005D70B1"/>
    <w:rsid w:val="005D772E"/>
    <w:rsid w:val="005E13E1"/>
    <w:rsid w:val="005E2386"/>
    <w:rsid w:val="005E4B20"/>
    <w:rsid w:val="005E5607"/>
    <w:rsid w:val="005E6A20"/>
    <w:rsid w:val="005E6F2C"/>
    <w:rsid w:val="005F1EC4"/>
    <w:rsid w:val="005F2C65"/>
    <w:rsid w:val="005F66BD"/>
    <w:rsid w:val="005F7315"/>
    <w:rsid w:val="005F7792"/>
    <w:rsid w:val="0060111E"/>
    <w:rsid w:val="006017BB"/>
    <w:rsid w:val="00602734"/>
    <w:rsid w:val="00602E9C"/>
    <w:rsid w:val="006041ED"/>
    <w:rsid w:val="0060798A"/>
    <w:rsid w:val="00612A78"/>
    <w:rsid w:val="006136C0"/>
    <w:rsid w:val="00613C43"/>
    <w:rsid w:val="006149BC"/>
    <w:rsid w:val="00615A28"/>
    <w:rsid w:val="006260B9"/>
    <w:rsid w:val="00630A20"/>
    <w:rsid w:val="006311C3"/>
    <w:rsid w:val="00632F57"/>
    <w:rsid w:val="00633F9A"/>
    <w:rsid w:val="00634A22"/>
    <w:rsid w:val="00635E32"/>
    <w:rsid w:val="00641568"/>
    <w:rsid w:val="006467F7"/>
    <w:rsid w:val="00646F83"/>
    <w:rsid w:val="0064747A"/>
    <w:rsid w:val="00647A47"/>
    <w:rsid w:val="00651007"/>
    <w:rsid w:val="0065486E"/>
    <w:rsid w:val="0065573C"/>
    <w:rsid w:val="0066179C"/>
    <w:rsid w:val="0066227E"/>
    <w:rsid w:val="00663554"/>
    <w:rsid w:val="0066428B"/>
    <w:rsid w:val="00664911"/>
    <w:rsid w:val="00664A47"/>
    <w:rsid w:val="00664D9F"/>
    <w:rsid w:val="00665F88"/>
    <w:rsid w:val="00666C14"/>
    <w:rsid w:val="00667D09"/>
    <w:rsid w:val="0067067F"/>
    <w:rsid w:val="00672734"/>
    <w:rsid w:val="006763BF"/>
    <w:rsid w:val="00677AB1"/>
    <w:rsid w:val="00683309"/>
    <w:rsid w:val="00690ABE"/>
    <w:rsid w:val="00692449"/>
    <w:rsid w:val="0069336F"/>
    <w:rsid w:val="00693D02"/>
    <w:rsid w:val="006977DB"/>
    <w:rsid w:val="00697BF9"/>
    <w:rsid w:val="006A0469"/>
    <w:rsid w:val="006A105D"/>
    <w:rsid w:val="006A25E3"/>
    <w:rsid w:val="006A2768"/>
    <w:rsid w:val="006A5BC9"/>
    <w:rsid w:val="006B0B02"/>
    <w:rsid w:val="006B5D25"/>
    <w:rsid w:val="006B6820"/>
    <w:rsid w:val="006B6F54"/>
    <w:rsid w:val="006C0316"/>
    <w:rsid w:val="006C0EE7"/>
    <w:rsid w:val="006C293D"/>
    <w:rsid w:val="006C44F8"/>
    <w:rsid w:val="006C471C"/>
    <w:rsid w:val="006C6D9D"/>
    <w:rsid w:val="006D0E89"/>
    <w:rsid w:val="006D29D0"/>
    <w:rsid w:val="006D5D2C"/>
    <w:rsid w:val="006D77A9"/>
    <w:rsid w:val="006D786C"/>
    <w:rsid w:val="006E115A"/>
    <w:rsid w:val="006E3196"/>
    <w:rsid w:val="006E328E"/>
    <w:rsid w:val="006E4265"/>
    <w:rsid w:val="006E5706"/>
    <w:rsid w:val="006E6BFD"/>
    <w:rsid w:val="006E716B"/>
    <w:rsid w:val="006F482F"/>
    <w:rsid w:val="006F5291"/>
    <w:rsid w:val="006F6069"/>
    <w:rsid w:val="006F72D5"/>
    <w:rsid w:val="00703035"/>
    <w:rsid w:val="007050EE"/>
    <w:rsid w:val="00706AB1"/>
    <w:rsid w:val="00706F54"/>
    <w:rsid w:val="0071282F"/>
    <w:rsid w:val="007128AD"/>
    <w:rsid w:val="00713B80"/>
    <w:rsid w:val="0071726D"/>
    <w:rsid w:val="0072379F"/>
    <w:rsid w:val="00725E94"/>
    <w:rsid w:val="0073026E"/>
    <w:rsid w:val="00730B82"/>
    <w:rsid w:val="00732AD7"/>
    <w:rsid w:val="00733A7C"/>
    <w:rsid w:val="00736AAE"/>
    <w:rsid w:val="007375CA"/>
    <w:rsid w:val="00737A76"/>
    <w:rsid w:val="00746894"/>
    <w:rsid w:val="007505F7"/>
    <w:rsid w:val="0075322E"/>
    <w:rsid w:val="00753655"/>
    <w:rsid w:val="007636CD"/>
    <w:rsid w:val="007637B4"/>
    <w:rsid w:val="007656F6"/>
    <w:rsid w:val="007678DC"/>
    <w:rsid w:val="007702EC"/>
    <w:rsid w:val="00771DBF"/>
    <w:rsid w:val="00771E8F"/>
    <w:rsid w:val="007730B4"/>
    <w:rsid w:val="00774CE0"/>
    <w:rsid w:val="00781794"/>
    <w:rsid w:val="007818BB"/>
    <w:rsid w:val="00786A7C"/>
    <w:rsid w:val="00796163"/>
    <w:rsid w:val="007A4006"/>
    <w:rsid w:val="007B05E3"/>
    <w:rsid w:val="007B0A23"/>
    <w:rsid w:val="007B2333"/>
    <w:rsid w:val="007B25A6"/>
    <w:rsid w:val="007B58C8"/>
    <w:rsid w:val="007B6841"/>
    <w:rsid w:val="007C4754"/>
    <w:rsid w:val="007C4A68"/>
    <w:rsid w:val="007C5D4B"/>
    <w:rsid w:val="007C62AA"/>
    <w:rsid w:val="007D475F"/>
    <w:rsid w:val="007E381C"/>
    <w:rsid w:val="007E4F51"/>
    <w:rsid w:val="007E5BE6"/>
    <w:rsid w:val="007F2CC3"/>
    <w:rsid w:val="007F5854"/>
    <w:rsid w:val="008003DA"/>
    <w:rsid w:val="008005F2"/>
    <w:rsid w:val="00802585"/>
    <w:rsid w:val="00802607"/>
    <w:rsid w:val="00803D6B"/>
    <w:rsid w:val="00804DAB"/>
    <w:rsid w:val="008057DB"/>
    <w:rsid w:val="00807010"/>
    <w:rsid w:val="008216C4"/>
    <w:rsid w:val="00824908"/>
    <w:rsid w:val="008321AD"/>
    <w:rsid w:val="008322ED"/>
    <w:rsid w:val="00833387"/>
    <w:rsid w:val="008360F5"/>
    <w:rsid w:val="00840663"/>
    <w:rsid w:val="00841A9B"/>
    <w:rsid w:val="0084344A"/>
    <w:rsid w:val="00843CEA"/>
    <w:rsid w:val="00844B7C"/>
    <w:rsid w:val="00846BD4"/>
    <w:rsid w:val="008621B0"/>
    <w:rsid w:val="00862685"/>
    <w:rsid w:val="00866087"/>
    <w:rsid w:val="008664EE"/>
    <w:rsid w:val="00866E70"/>
    <w:rsid w:val="008674A7"/>
    <w:rsid w:val="00871261"/>
    <w:rsid w:val="0087165F"/>
    <w:rsid w:val="00871A1F"/>
    <w:rsid w:val="00872C6C"/>
    <w:rsid w:val="008738C9"/>
    <w:rsid w:val="00875A7B"/>
    <w:rsid w:val="00883B05"/>
    <w:rsid w:val="00886FD8"/>
    <w:rsid w:val="00895F0D"/>
    <w:rsid w:val="008A76C9"/>
    <w:rsid w:val="008B1920"/>
    <w:rsid w:val="008B284B"/>
    <w:rsid w:val="008B3EA4"/>
    <w:rsid w:val="008B5931"/>
    <w:rsid w:val="008B771D"/>
    <w:rsid w:val="008C0E2E"/>
    <w:rsid w:val="008C42C2"/>
    <w:rsid w:val="008C789B"/>
    <w:rsid w:val="008C7F9A"/>
    <w:rsid w:val="008D3956"/>
    <w:rsid w:val="008D4CC7"/>
    <w:rsid w:val="008D5F94"/>
    <w:rsid w:val="008D7345"/>
    <w:rsid w:val="008D76B4"/>
    <w:rsid w:val="008E3184"/>
    <w:rsid w:val="008E3A8C"/>
    <w:rsid w:val="008E428B"/>
    <w:rsid w:val="008E6D86"/>
    <w:rsid w:val="008E7C20"/>
    <w:rsid w:val="008F45B8"/>
    <w:rsid w:val="008F4C3F"/>
    <w:rsid w:val="008F4CD3"/>
    <w:rsid w:val="008F6B0A"/>
    <w:rsid w:val="009014FD"/>
    <w:rsid w:val="00903560"/>
    <w:rsid w:val="00904B9B"/>
    <w:rsid w:val="00907140"/>
    <w:rsid w:val="00907C32"/>
    <w:rsid w:val="00911751"/>
    <w:rsid w:val="00912A53"/>
    <w:rsid w:val="009138B4"/>
    <w:rsid w:val="00915457"/>
    <w:rsid w:val="0091564B"/>
    <w:rsid w:val="00917A09"/>
    <w:rsid w:val="009213A1"/>
    <w:rsid w:val="0092301B"/>
    <w:rsid w:val="00923222"/>
    <w:rsid w:val="00924450"/>
    <w:rsid w:val="0092483F"/>
    <w:rsid w:val="009274D7"/>
    <w:rsid w:val="009279BE"/>
    <w:rsid w:val="00927CBA"/>
    <w:rsid w:val="009310B9"/>
    <w:rsid w:val="00940092"/>
    <w:rsid w:val="009439AE"/>
    <w:rsid w:val="00945D68"/>
    <w:rsid w:val="00945E1F"/>
    <w:rsid w:val="00946B18"/>
    <w:rsid w:val="00946C3E"/>
    <w:rsid w:val="00952B16"/>
    <w:rsid w:val="009541D8"/>
    <w:rsid w:val="00955EC3"/>
    <w:rsid w:val="009564AB"/>
    <w:rsid w:val="0096435C"/>
    <w:rsid w:val="00965A55"/>
    <w:rsid w:val="009702E2"/>
    <w:rsid w:val="00970B9E"/>
    <w:rsid w:val="0097446A"/>
    <w:rsid w:val="00976342"/>
    <w:rsid w:val="00982028"/>
    <w:rsid w:val="00982771"/>
    <w:rsid w:val="00985170"/>
    <w:rsid w:val="009926F7"/>
    <w:rsid w:val="00993BF2"/>
    <w:rsid w:val="00993D8B"/>
    <w:rsid w:val="00996FEA"/>
    <w:rsid w:val="00997482"/>
    <w:rsid w:val="009A0F3D"/>
    <w:rsid w:val="009A2310"/>
    <w:rsid w:val="009A275C"/>
    <w:rsid w:val="009A4528"/>
    <w:rsid w:val="009A5373"/>
    <w:rsid w:val="009A7B86"/>
    <w:rsid w:val="009B1B57"/>
    <w:rsid w:val="009B7FCE"/>
    <w:rsid w:val="009C4E0A"/>
    <w:rsid w:val="009C6795"/>
    <w:rsid w:val="009C6A4B"/>
    <w:rsid w:val="009D08E7"/>
    <w:rsid w:val="009D5C70"/>
    <w:rsid w:val="009D7985"/>
    <w:rsid w:val="009E5A9A"/>
    <w:rsid w:val="009F11E9"/>
    <w:rsid w:val="009F3861"/>
    <w:rsid w:val="009F727D"/>
    <w:rsid w:val="009F7DD0"/>
    <w:rsid w:val="00A026EA"/>
    <w:rsid w:val="00A0427A"/>
    <w:rsid w:val="00A07501"/>
    <w:rsid w:val="00A11D30"/>
    <w:rsid w:val="00A122FC"/>
    <w:rsid w:val="00A14FC0"/>
    <w:rsid w:val="00A2026B"/>
    <w:rsid w:val="00A23B76"/>
    <w:rsid w:val="00A23E4C"/>
    <w:rsid w:val="00A24BB6"/>
    <w:rsid w:val="00A27618"/>
    <w:rsid w:val="00A3014A"/>
    <w:rsid w:val="00A32D33"/>
    <w:rsid w:val="00A34A35"/>
    <w:rsid w:val="00A41D3E"/>
    <w:rsid w:val="00A42846"/>
    <w:rsid w:val="00A428C1"/>
    <w:rsid w:val="00A45988"/>
    <w:rsid w:val="00A45FC0"/>
    <w:rsid w:val="00A46477"/>
    <w:rsid w:val="00A477F6"/>
    <w:rsid w:val="00A505F3"/>
    <w:rsid w:val="00A50871"/>
    <w:rsid w:val="00A5247F"/>
    <w:rsid w:val="00A54C92"/>
    <w:rsid w:val="00A5718B"/>
    <w:rsid w:val="00A670E9"/>
    <w:rsid w:val="00A678A6"/>
    <w:rsid w:val="00A70034"/>
    <w:rsid w:val="00A70472"/>
    <w:rsid w:val="00A7386B"/>
    <w:rsid w:val="00A73A01"/>
    <w:rsid w:val="00A77D7B"/>
    <w:rsid w:val="00A809C5"/>
    <w:rsid w:val="00A80ED3"/>
    <w:rsid w:val="00A81720"/>
    <w:rsid w:val="00A81AE6"/>
    <w:rsid w:val="00A82995"/>
    <w:rsid w:val="00A846BB"/>
    <w:rsid w:val="00A84A10"/>
    <w:rsid w:val="00A854A2"/>
    <w:rsid w:val="00A87292"/>
    <w:rsid w:val="00A95436"/>
    <w:rsid w:val="00A95C7A"/>
    <w:rsid w:val="00AA0DA5"/>
    <w:rsid w:val="00AA1B94"/>
    <w:rsid w:val="00AA5F92"/>
    <w:rsid w:val="00AA61FB"/>
    <w:rsid w:val="00AB4AAB"/>
    <w:rsid w:val="00AB4B9A"/>
    <w:rsid w:val="00AC1999"/>
    <w:rsid w:val="00AC24E7"/>
    <w:rsid w:val="00AC4E2E"/>
    <w:rsid w:val="00AC51F3"/>
    <w:rsid w:val="00AD0EA4"/>
    <w:rsid w:val="00AD204C"/>
    <w:rsid w:val="00AD22DA"/>
    <w:rsid w:val="00AD441E"/>
    <w:rsid w:val="00AD66F4"/>
    <w:rsid w:val="00AE1A6A"/>
    <w:rsid w:val="00AE68BE"/>
    <w:rsid w:val="00AE770D"/>
    <w:rsid w:val="00AF3007"/>
    <w:rsid w:val="00AF3555"/>
    <w:rsid w:val="00AF3E1B"/>
    <w:rsid w:val="00B00B80"/>
    <w:rsid w:val="00B01CF9"/>
    <w:rsid w:val="00B02CA6"/>
    <w:rsid w:val="00B16A3E"/>
    <w:rsid w:val="00B17747"/>
    <w:rsid w:val="00B22457"/>
    <w:rsid w:val="00B26241"/>
    <w:rsid w:val="00B27B9F"/>
    <w:rsid w:val="00B31212"/>
    <w:rsid w:val="00B31FA1"/>
    <w:rsid w:val="00B35672"/>
    <w:rsid w:val="00B373A8"/>
    <w:rsid w:val="00B411AB"/>
    <w:rsid w:val="00B429DB"/>
    <w:rsid w:val="00B432FE"/>
    <w:rsid w:val="00B46027"/>
    <w:rsid w:val="00B47EE2"/>
    <w:rsid w:val="00B50622"/>
    <w:rsid w:val="00B50AC9"/>
    <w:rsid w:val="00B52746"/>
    <w:rsid w:val="00B528C9"/>
    <w:rsid w:val="00B545F6"/>
    <w:rsid w:val="00B559A3"/>
    <w:rsid w:val="00B56851"/>
    <w:rsid w:val="00B56AC1"/>
    <w:rsid w:val="00B56BB7"/>
    <w:rsid w:val="00B60EAE"/>
    <w:rsid w:val="00B61C15"/>
    <w:rsid w:val="00B652D6"/>
    <w:rsid w:val="00B6546D"/>
    <w:rsid w:val="00B6667D"/>
    <w:rsid w:val="00B7150D"/>
    <w:rsid w:val="00B730EE"/>
    <w:rsid w:val="00B7513B"/>
    <w:rsid w:val="00B77C1B"/>
    <w:rsid w:val="00B80E4B"/>
    <w:rsid w:val="00B81D94"/>
    <w:rsid w:val="00B8609E"/>
    <w:rsid w:val="00B86518"/>
    <w:rsid w:val="00B86951"/>
    <w:rsid w:val="00B86B01"/>
    <w:rsid w:val="00B9053E"/>
    <w:rsid w:val="00B92B75"/>
    <w:rsid w:val="00B95264"/>
    <w:rsid w:val="00B97B5C"/>
    <w:rsid w:val="00B97BCF"/>
    <w:rsid w:val="00BA276B"/>
    <w:rsid w:val="00BA2B3A"/>
    <w:rsid w:val="00BA2CE9"/>
    <w:rsid w:val="00BA40B9"/>
    <w:rsid w:val="00BA544A"/>
    <w:rsid w:val="00BA7113"/>
    <w:rsid w:val="00BB15E7"/>
    <w:rsid w:val="00BB26E9"/>
    <w:rsid w:val="00BB27D4"/>
    <w:rsid w:val="00BB7E55"/>
    <w:rsid w:val="00BC3269"/>
    <w:rsid w:val="00BC49DB"/>
    <w:rsid w:val="00BC715F"/>
    <w:rsid w:val="00BC7D4A"/>
    <w:rsid w:val="00BD0178"/>
    <w:rsid w:val="00BD0991"/>
    <w:rsid w:val="00BD5163"/>
    <w:rsid w:val="00BD6DEF"/>
    <w:rsid w:val="00BE4957"/>
    <w:rsid w:val="00BE7614"/>
    <w:rsid w:val="00BE7DAC"/>
    <w:rsid w:val="00BF2024"/>
    <w:rsid w:val="00BF3C29"/>
    <w:rsid w:val="00BF4270"/>
    <w:rsid w:val="00BF5452"/>
    <w:rsid w:val="00BF5BDB"/>
    <w:rsid w:val="00BF69F5"/>
    <w:rsid w:val="00C01EA1"/>
    <w:rsid w:val="00C07407"/>
    <w:rsid w:val="00C112FD"/>
    <w:rsid w:val="00C12211"/>
    <w:rsid w:val="00C16F67"/>
    <w:rsid w:val="00C230BC"/>
    <w:rsid w:val="00C25258"/>
    <w:rsid w:val="00C265A1"/>
    <w:rsid w:val="00C26D82"/>
    <w:rsid w:val="00C30298"/>
    <w:rsid w:val="00C30E47"/>
    <w:rsid w:val="00C3279F"/>
    <w:rsid w:val="00C333FE"/>
    <w:rsid w:val="00C338F4"/>
    <w:rsid w:val="00C34743"/>
    <w:rsid w:val="00C3701A"/>
    <w:rsid w:val="00C376C5"/>
    <w:rsid w:val="00C402CB"/>
    <w:rsid w:val="00C4060C"/>
    <w:rsid w:val="00C408FA"/>
    <w:rsid w:val="00C459E9"/>
    <w:rsid w:val="00C46CDB"/>
    <w:rsid w:val="00C525C4"/>
    <w:rsid w:val="00C535ED"/>
    <w:rsid w:val="00C537CA"/>
    <w:rsid w:val="00C546E9"/>
    <w:rsid w:val="00C6083F"/>
    <w:rsid w:val="00C61132"/>
    <w:rsid w:val="00C718F4"/>
    <w:rsid w:val="00C80374"/>
    <w:rsid w:val="00C80C2B"/>
    <w:rsid w:val="00C86D58"/>
    <w:rsid w:val="00C87EE3"/>
    <w:rsid w:val="00C904A3"/>
    <w:rsid w:val="00C907CC"/>
    <w:rsid w:val="00C90C80"/>
    <w:rsid w:val="00C91B54"/>
    <w:rsid w:val="00C91C99"/>
    <w:rsid w:val="00C922B8"/>
    <w:rsid w:val="00C93014"/>
    <w:rsid w:val="00C96FA1"/>
    <w:rsid w:val="00CA25DF"/>
    <w:rsid w:val="00CA3147"/>
    <w:rsid w:val="00CA63AE"/>
    <w:rsid w:val="00CA6FD4"/>
    <w:rsid w:val="00CA704F"/>
    <w:rsid w:val="00CB0483"/>
    <w:rsid w:val="00CB279B"/>
    <w:rsid w:val="00CB34CE"/>
    <w:rsid w:val="00CB50C5"/>
    <w:rsid w:val="00CB511D"/>
    <w:rsid w:val="00CB5770"/>
    <w:rsid w:val="00CB7415"/>
    <w:rsid w:val="00CB7D40"/>
    <w:rsid w:val="00CC0F4E"/>
    <w:rsid w:val="00CC1EA4"/>
    <w:rsid w:val="00CC1EF2"/>
    <w:rsid w:val="00CC21DE"/>
    <w:rsid w:val="00CC3656"/>
    <w:rsid w:val="00CC596A"/>
    <w:rsid w:val="00CC79D4"/>
    <w:rsid w:val="00CD0503"/>
    <w:rsid w:val="00CD4614"/>
    <w:rsid w:val="00CD4F58"/>
    <w:rsid w:val="00CE1E6E"/>
    <w:rsid w:val="00CE5302"/>
    <w:rsid w:val="00CE5BD1"/>
    <w:rsid w:val="00CE764A"/>
    <w:rsid w:val="00CF5092"/>
    <w:rsid w:val="00D0340C"/>
    <w:rsid w:val="00D037C0"/>
    <w:rsid w:val="00D04EC4"/>
    <w:rsid w:val="00D05544"/>
    <w:rsid w:val="00D05E95"/>
    <w:rsid w:val="00D065B3"/>
    <w:rsid w:val="00D10BE1"/>
    <w:rsid w:val="00D10D09"/>
    <w:rsid w:val="00D10D16"/>
    <w:rsid w:val="00D11A10"/>
    <w:rsid w:val="00D1490F"/>
    <w:rsid w:val="00D17978"/>
    <w:rsid w:val="00D21AB0"/>
    <w:rsid w:val="00D22018"/>
    <w:rsid w:val="00D25653"/>
    <w:rsid w:val="00D25E68"/>
    <w:rsid w:val="00D27A6B"/>
    <w:rsid w:val="00D310C3"/>
    <w:rsid w:val="00D35BE4"/>
    <w:rsid w:val="00D368DC"/>
    <w:rsid w:val="00D370EA"/>
    <w:rsid w:val="00D37CD9"/>
    <w:rsid w:val="00D40C53"/>
    <w:rsid w:val="00D41F9F"/>
    <w:rsid w:val="00D425A5"/>
    <w:rsid w:val="00D440E2"/>
    <w:rsid w:val="00D4544F"/>
    <w:rsid w:val="00D45957"/>
    <w:rsid w:val="00D45C55"/>
    <w:rsid w:val="00D52720"/>
    <w:rsid w:val="00D53C1A"/>
    <w:rsid w:val="00D55F77"/>
    <w:rsid w:val="00D569E9"/>
    <w:rsid w:val="00D64CC7"/>
    <w:rsid w:val="00D65550"/>
    <w:rsid w:val="00D6595D"/>
    <w:rsid w:val="00D66227"/>
    <w:rsid w:val="00D6747B"/>
    <w:rsid w:val="00D70FCF"/>
    <w:rsid w:val="00D71A16"/>
    <w:rsid w:val="00D83362"/>
    <w:rsid w:val="00D840EA"/>
    <w:rsid w:val="00D8463A"/>
    <w:rsid w:val="00D8701C"/>
    <w:rsid w:val="00D872E6"/>
    <w:rsid w:val="00D9050C"/>
    <w:rsid w:val="00D90EB1"/>
    <w:rsid w:val="00D92BFA"/>
    <w:rsid w:val="00D939C2"/>
    <w:rsid w:val="00DA2574"/>
    <w:rsid w:val="00DA2D30"/>
    <w:rsid w:val="00DA2DA6"/>
    <w:rsid w:val="00DA4706"/>
    <w:rsid w:val="00DA6E35"/>
    <w:rsid w:val="00DA7240"/>
    <w:rsid w:val="00DB3863"/>
    <w:rsid w:val="00DB436B"/>
    <w:rsid w:val="00DB6831"/>
    <w:rsid w:val="00DB72A1"/>
    <w:rsid w:val="00DC0B71"/>
    <w:rsid w:val="00DC4C93"/>
    <w:rsid w:val="00DC5857"/>
    <w:rsid w:val="00DC5E8C"/>
    <w:rsid w:val="00DC6CFD"/>
    <w:rsid w:val="00DD2C06"/>
    <w:rsid w:val="00DD455D"/>
    <w:rsid w:val="00DD4BB3"/>
    <w:rsid w:val="00DD5976"/>
    <w:rsid w:val="00DD7023"/>
    <w:rsid w:val="00DE0D32"/>
    <w:rsid w:val="00DE28F9"/>
    <w:rsid w:val="00DE5B5C"/>
    <w:rsid w:val="00DE61F0"/>
    <w:rsid w:val="00DF27DF"/>
    <w:rsid w:val="00DF31A2"/>
    <w:rsid w:val="00DF56C2"/>
    <w:rsid w:val="00DF6898"/>
    <w:rsid w:val="00E0328C"/>
    <w:rsid w:val="00E102ED"/>
    <w:rsid w:val="00E13A2B"/>
    <w:rsid w:val="00E14F38"/>
    <w:rsid w:val="00E16D7A"/>
    <w:rsid w:val="00E200C6"/>
    <w:rsid w:val="00E20D38"/>
    <w:rsid w:val="00E21C39"/>
    <w:rsid w:val="00E22F6F"/>
    <w:rsid w:val="00E239B0"/>
    <w:rsid w:val="00E24014"/>
    <w:rsid w:val="00E362E8"/>
    <w:rsid w:val="00E4327D"/>
    <w:rsid w:val="00E44C98"/>
    <w:rsid w:val="00E46DCC"/>
    <w:rsid w:val="00E50934"/>
    <w:rsid w:val="00E524A4"/>
    <w:rsid w:val="00E55204"/>
    <w:rsid w:val="00E57697"/>
    <w:rsid w:val="00E615B9"/>
    <w:rsid w:val="00E617B9"/>
    <w:rsid w:val="00E61F0C"/>
    <w:rsid w:val="00E62269"/>
    <w:rsid w:val="00E64B83"/>
    <w:rsid w:val="00E70224"/>
    <w:rsid w:val="00E80E02"/>
    <w:rsid w:val="00E83000"/>
    <w:rsid w:val="00E84096"/>
    <w:rsid w:val="00E86843"/>
    <w:rsid w:val="00E86C63"/>
    <w:rsid w:val="00E917EC"/>
    <w:rsid w:val="00E92A58"/>
    <w:rsid w:val="00E94AA9"/>
    <w:rsid w:val="00E95F40"/>
    <w:rsid w:val="00E97B25"/>
    <w:rsid w:val="00EA4357"/>
    <w:rsid w:val="00EA555F"/>
    <w:rsid w:val="00EA5C3E"/>
    <w:rsid w:val="00EA6454"/>
    <w:rsid w:val="00EB14B0"/>
    <w:rsid w:val="00EB1EFA"/>
    <w:rsid w:val="00EB405E"/>
    <w:rsid w:val="00EB45A7"/>
    <w:rsid w:val="00EB46E5"/>
    <w:rsid w:val="00EB5D3A"/>
    <w:rsid w:val="00EB665C"/>
    <w:rsid w:val="00EC1175"/>
    <w:rsid w:val="00EC22BE"/>
    <w:rsid w:val="00EC2713"/>
    <w:rsid w:val="00EC787D"/>
    <w:rsid w:val="00ED1362"/>
    <w:rsid w:val="00ED7585"/>
    <w:rsid w:val="00ED7877"/>
    <w:rsid w:val="00ED7891"/>
    <w:rsid w:val="00ED7BF5"/>
    <w:rsid w:val="00EE13FF"/>
    <w:rsid w:val="00EE4005"/>
    <w:rsid w:val="00EE4518"/>
    <w:rsid w:val="00EF002F"/>
    <w:rsid w:val="00EF0D02"/>
    <w:rsid w:val="00EF168E"/>
    <w:rsid w:val="00EF3C01"/>
    <w:rsid w:val="00EF7E66"/>
    <w:rsid w:val="00F00BE5"/>
    <w:rsid w:val="00F0332F"/>
    <w:rsid w:val="00F03390"/>
    <w:rsid w:val="00F03F17"/>
    <w:rsid w:val="00F05731"/>
    <w:rsid w:val="00F06D88"/>
    <w:rsid w:val="00F152EC"/>
    <w:rsid w:val="00F23D1C"/>
    <w:rsid w:val="00F261D8"/>
    <w:rsid w:val="00F30976"/>
    <w:rsid w:val="00F4112C"/>
    <w:rsid w:val="00F4454B"/>
    <w:rsid w:val="00F47DB7"/>
    <w:rsid w:val="00F52417"/>
    <w:rsid w:val="00F532E2"/>
    <w:rsid w:val="00F6001E"/>
    <w:rsid w:val="00F60FED"/>
    <w:rsid w:val="00F61221"/>
    <w:rsid w:val="00F6137B"/>
    <w:rsid w:val="00F63198"/>
    <w:rsid w:val="00F65051"/>
    <w:rsid w:val="00F65678"/>
    <w:rsid w:val="00F664EA"/>
    <w:rsid w:val="00F67D98"/>
    <w:rsid w:val="00F73D72"/>
    <w:rsid w:val="00F7453A"/>
    <w:rsid w:val="00F7468C"/>
    <w:rsid w:val="00F82BB1"/>
    <w:rsid w:val="00F8304E"/>
    <w:rsid w:val="00F85E11"/>
    <w:rsid w:val="00F8733F"/>
    <w:rsid w:val="00F91249"/>
    <w:rsid w:val="00F94BDD"/>
    <w:rsid w:val="00F961BB"/>
    <w:rsid w:val="00F97279"/>
    <w:rsid w:val="00FA00CB"/>
    <w:rsid w:val="00FA06F2"/>
    <w:rsid w:val="00FA08F9"/>
    <w:rsid w:val="00FA34FD"/>
    <w:rsid w:val="00FA3C95"/>
    <w:rsid w:val="00FB0647"/>
    <w:rsid w:val="00FB25AF"/>
    <w:rsid w:val="00FB3519"/>
    <w:rsid w:val="00FB4319"/>
    <w:rsid w:val="00FC3F3F"/>
    <w:rsid w:val="00FC676B"/>
    <w:rsid w:val="00FD1AFF"/>
    <w:rsid w:val="00FD35CB"/>
    <w:rsid w:val="00FD462A"/>
    <w:rsid w:val="00FD774B"/>
    <w:rsid w:val="00FE31EC"/>
    <w:rsid w:val="00FE464C"/>
    <w:rsid w:val="00FE6D99"/>
    <w:rsid w:val="00FE6DFB"/>
    <w:rsid w:val="00FE7088"/>
    <w:rsid w:val="00FF0E82"/>
    <w:rsid w:val="00FF0EED"/>
    <w:rsid w:val="00FF1E00"/>
    <w:rsid w:val="00FF2B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0C13113-1477-4C8B-BF98-CC8585C8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798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4096"/>
    <w:pPr>
      <w:ind w:left="720"/>
      <w:contextualSpacing/>
    </w:pPr>
  </w:style>
  <w:style w:type="paragraph" w:styleId="Sprechblasentext">
    <w:name w:val="Balloon Text"/>
    <w:basedOn w:val="Standard"/>
    <w:link w:val="SprechblasentextZchn"/>
    <w:uiPriority w:val="99"/>
    <w:semiHidden/>
    <w:unhideWhenUsed/>
    <w:rsid w:val="00DA72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240"/>
    <w:rPr>
      <w:rFonts w:ascii="Tahoma" w:hAnsi="Tahoma" w:cs="Tahoma"/>
      <w:sz w:val="16"/>
      <w:szCs w:val="16"/>
    </w:rPr>
  </w:style>
  <w:style w:type="paragraph" w:styleId="Funotentext">
    <w:name w:val="footnote text"/>
    <w:basedOn w:val="Standard"/>
    <w:link w:val="FunotentextZchn"/>
    <w:uiPriority w:val="99"/>
    <w:semiHidden/>
    <w:unhideWhenUsed/>
    <w:rsid w:val="003D29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29BC"/>
    <w:rPr>
      <w:lang w:eastAsia="en-US"/>
    </w:rPr>
  </w:style>
  <w:style w:type="character" w:styleId="Funotenzeichen">
    <w:name w:val="footnote reference"/>
    <w:basedOn w:val="Absatz-Standardschriftart"/>
    <w:uiPriority w:val="99"/>
    <w:semiHidden/>
    <w:unhideWhenUsed/>
    <w:rsid w:val="003D29BC"/>
    <w:rPr>
      <w:vertAlign w:val="superscript"/>
    </w:rPr>
  </w:style>
  <w:style w:type="character" w:styleId="Kommentarzeichen">
    <w:name w:val="annotation reference"/>
    <w:basedOn w:val="Absatz-Standardschriftart"/>
    <w:uiPriority w:val="99"/>
    <w:semiHidden/>
    <w:unhideWhenUsed/>
    <w:rsid w:val="00B31FA1"/>
    <w:rPr>
      <w:sz w:val="16"/>
      <w:szCs w:val="16"/>
    </w:rPr>
  </w:style>
  <w:style w:type="paragraph" w:styleId="Kommentartext">
    <w:name w:val="annotation text"/>
    <w:basedOn w:val="Standard"/>
    <w:link w:val="KommentartextZchn"/>
    <w:uiPriority w:val="99"/>
    <w:semiHidden/>
    <w:unhideWhenUsed/>
    <w:rsid w:val="00B31F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FA1"/>
    <w:rPr>
      <w:lang w:eastAsia="en-US"/>
    </w:rPr>
  </w:style>
  <w:style w:type="paragraph" w:styleId="Kommentarthema">
    <w:name w:val="annotation subject"/>
    <w:basedOn w:val="Kommentartext"/>
    <w:next w:val="Kommentartext"/>
    <w:link w:val="KommentarthemaZchn"/>
    <w:uiPriority w:val="99"/>
    <w:semiHidden/>
    <w:unhideWhenUsed/>
    <w:rsid w:val="00B31FA1"/>
    <w:rPr>
      <w:b/>
      <w:bCs/>
    </w:rPr>
  </w:style>
  <w:style w:type="character" w:customStyle="1" w:styleId="KommentarthemaZchn">
    <w:name w:val="Kommentarthema Zchn"/>
    <w:basedOn w:val="KommentartextZchn"/>
    <w:link w:val="Kommentarthema"/>
    <w:uiPriority w:val="99"/>
    <w:semiHidden/>
    <w:rsid w:val="00B31FA1"/>
    <w:rPr>
      <w:b/>
      <w:bCs/>
      <w:lang w:eastAsia="en-US"/>
    </w:rPr>
  </w:style>
  <w:style w:type="paragraph" w:styleId="Kopfzeile">
    <w:name w:val="header"/>
    <w:basedOn w:val="Standard"/>
    <w:link w:val="KopfzeileZchn"/>
    <w:uiPriority w:val="99"/>
    <w:unhideWhenUsed/>
    <w:rsid w:val="006D0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E89"/>
    <w:rPr>
      <w:sz w:val="22"/>
      <w:szCs w:val="22"/>
      <w:lang w:eastAsia="en-US"/>
    </w:rPr>
  </w:style>
  <w:style w:type="paragraph" w:styleId="Fuzeile">
    <w:name w:val="footer"/>
    <w:basedOn w:val="Standard"/>
    <w:link w:val="FuzeileZchn"/>
    <w:uiPriority w:val="99"/>
    <w:unhideWhenUsed/>
    <w:rsid w:val="006D0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E89"/>
    <w:rPr>
      <w:sz w:val="22"/>
      <w:szCs w:val="22"/>
      <w:lang w:eastAsia="en-US"/>
    </w:rPr>
  </w:style>
  <w:style w:type="table" w:styleId="Tabellenraster">
    <w:name w:val="Table Grid"/>
    <w:basedOn w:val="NormaleTabelle"/>
    <w:uiPriority w:val="59"/>
    <w:rsid w:val="002F0A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Absatz-Standardschriftart"/>
    <w:rsid w:val="00EB665C"/>
    <w:rPr>
      <w:color w:val="auto"/>
    </w:rPr>
  </w:style>
  <w:style w:type="character" w:styleId="Hyperlink">
    <w:name w:val="Hyperlink"/>
    <w:basedOn w:val="Absatz-Standardschriftart"/>
    <w:uiPriority w:val="99"/>
    <w:unhideWhenUsed/>
    <w:rsid w:val="00BA276B"/>
    <w:rPr>
      <w:color w:val="0000FF" w:themeColor="hyperlink"/>
      <w:u w:val="single"/>
    </w:rPr>
  </w:style>
  <w:style w:type="table" w:customStyle="1" w:styleId="Tabellenraster1">
    <w:name w:val="Tabellenraster1"/>
    <w:basedOn w:val="NormaleTabelle"/>
    <w:next w:val="Tabellenraster"/>
    <w:uiPriority w:val="59"/>
    <w:rsid w:val="009702E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C365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936">
      <w:bodyDiv w:val="1"/>
      <w:marLeft w:val="0"/>
      <w:marRight w:val="0"/>
      <w:marTop w:val="0"/>
      <w:marBottom w:val="0"/>
      <w:divBdr>
        <w:top w:val="none" w:sz="0" w:space="0" w:color="auto"/>
        <w:left w:val="none" w:sz="0" w:space="0" w:color="auto"/>
        <w:bottom w:val="none" w:sz="0" w:space="0" w:color="auto"/>
        <w:right w:val="none" w:sz="0" w:space="0" w:color="auto"/>
      </w:divBdr>
    </w:div>
    <w:div w:id="281500032">
      <w:bodyDiv w:val="1"/>
      <w:marLeft w:val="0"/>
      <w:marRight w:val="0"/>
      <w:marTop w:val="0"/>
      <w:marBottom w:val="0"/>
      <w:divBdr>
        <w:top w:val="none" w:sz="0" w:space="0" w:color="auto"/>
        <w:left w:val="none" w:sz="0" w:space="0" w:color="auto"/>
        <w:bottom w:val="none" w:sz="0" w:space="0" w:color="auto"/>
        <w:right w:val="none" w:sz="0" w:space="0" w:color="auto"/>
      </w:divBdr>
    </w:div>
    <w:div w:id="351537165">
      <w:bodyDiv w:val="1"/>
      <w:marLeft w:val="0"/>
      <w:marRight w:val="0"/>
      <w:marTop w:val="0"/>
      <w:marBottom w:val="0"/>
      <w:divBdr>
        <w:top w:val="none" w:sz="0" w:space="0" w:color="auto"/>
        <w:left w:val="none" w:sz="0" w:space="0" w:color="auto"/>
        <w:bottom w:val="none" w:sz="0" w:space="0" w:color="auto"/>
        <w:right w:val="none" w:sz="0" w:space="0" w:color="auto"/>
      </w:divBdr>
    </w:div>
    <w:div w:id="564611145">
      <w:bodyDiv w:val="1"/>
      <w:marLeft w:val="0"/>
      <w:marRight w:val="0"/>
      <w:marTop w:val="0"/>
      <w:marBottom w:val="0"/>
      <w:divBdr>
        <w:top w:val="none" w:sz="0" w:space="0" w:color="auto"/>
        <w:left w:val="none" w:sz="0" w:space="0" w:color="auto"/>
        <w:bottom w:val="none" w:sz="0" w:space="0" w:color="auto"/>
        <w:right w:val="none" w:sz="0" w:space="0" w:color="auto"/>
      </w:divBdr>
    </w:div>
    <w:div w:id="673461600">
      <w:bodyDiv w:val="1"/>
      <w:marLeft w:val="0"/>
      <w:marRight w:val="0"/>
      <w:marTop w:val="0"/>
      <w:marBottom w:val="0"/>
      <w:divBdr>
        <w:top w:val="none" w:sz="0" w:space="0" w:color="auto"/>
        <w:left w:val="none" w:sz="0" w:space="0" w:color="auto"/>
        <w:bottom w:val="none" w:sz="0" w:space="0" w:color="auto"/>
        <w:right w:val="none" w:sz="0" w:space="0" w:color="auto"/>
      </w:divBdr>
    </w:div>
    <w:div w:id="756556984">
      <w:bodyDiv w:val="1"/>
      <w:marLeft w:val="0"/>
      <w:marRight w:val="0"/>
      <w:marTop w:val="0"/>
      <w:marBottom w:val="0"/>
      <w:divBdr>
        <w:top w:val="none" w:sz="0" w:space="0" w:color="auto"/>
        <w:left w:val="none" w:sz="0" w:space="0" w:color="auto"/>
        <w:bottom w:val="none" w:sz="0" w:space="0" w:color="auto"/>
        <w:right w:val="none" w:sz="0" w:space="0" w:color="auto"/>
      </w:divBdr>
    </w:div>
    <w:div w:id="771705559">
      <w:bodyDiv w:val="1"/>
      <w:marLeft w:val="0"/>
      <w:marRight w:val="0"/>
      <w:marTop w:val="0"/>
      <w:marBottom w:val="0"/>
      <w:divBdr>
        <w:top w:val="none" w:sz="0" w:space="0" w:color="auto"/>
        <w:left w:val="none" w:sz="0" w:space="0" w:color="auto"/>
        <w:bottom w:val="none" w:sz="0" w:space="0" w:color="auto"/>
        <w:right w:val="none" w:sz="0" w:space="0" w:color="auto"/>
      </w:divBdr>
    </w:div>
    <w:div w:id="909776926">
      <w:bodyDiv w:val="1"/>
      <w:marLeft w:val="0"/>
      <w:marRight w:val="0"/>
      <w:marTop w:val="0"/>
      <w:marBottom w:val="0"/>
      <w:divBdr>
        <w:top w:val="none" w:sz="0" w:space="0" w:color="auto"/>
        <w:left w:val="none" w:sz="0" w:space="0" w:color="auto"/>
        <w:bottom w:val="none" w:sz="0" w:space="0" w:color="auto"/>
        <w:right w:val="none" w:sz="0" w:space="0" w:color="auto"/>
      </w:divBdr>
    </w:div>
    <w:div w:id="964776806">
      <w:bodyDiv w:val="1"/>
      <w:marLeft w:val="0"/>
      <w:marRight w:val="0"/>
      <w:marTop w:val="0"/>
      <w:marBottom w:val="0"/>
      <w:divBdr>
        <w:top w:val="none" w:sz="0" w:space="0" w:color="auto"/>
        <w:left w:val="none" w:sz="0" w:space="0" w:color="auto"/>
        <w:bottom w:val="none" w:sz="0" w:space="0" w:color="auto"/>
        <w:right w:val="none" w:sz="0" w:space="0" w:color="auto"/>
      </w:divBdr>
    </w:div>
    <w:div w:id="969282156">
      <w:bodyDiv w:val="1"/>
      <w:marLeft w:val="0"/>
      <w:marRight w:val="0"/>
      <w:marTop w:val="0"/>
      <w:marBottom w:val="0"/>
      <w:divBdr>
        <w:top w:val="none" w:sz="0" w:space="0" w:color="auto"/>
        <w:left w:val="none" w:sz="0" w:space="0" w:color="auto"/>
        <w:bottom w:val="none" w:sz="0" w:space="0" w:color="auto"/>
        <w:right w:val="none" w:sz="0" w:space="0" w:color="auto"/>
      </w:divBdr>
    </w:div>
    <w:div w:id="1026518831">
      <w:bodyDiv w:val="1"/>
      <w:marLeft w:val="0"/>
      <w:marRight w:val="0"/>
      <w:marTop w:val="0"/>
      <w:marBottom w:val="0"/>
      <w:divBdr>
        <w:top w:val="none" w:sz="0" w:space="0" w:color="auto"/>
        <w:left w:val="none" w:sz="0" w:space="0" w:color="auto"/>
        <w:bottom w:val="none" w:sz="0" w:space="0" w:color="auto"/>
        <w:right w:val="none" w:sz="0" w:space="0" w:color="auto"/>
      </w:divBdr>
    </w:div>
    <w:div w:id="1084181230">
      <w:bodyDiv w:val="1"/>
      <w:marLeft w:val="0"/>
      <w:marRight w:val="0"/>
      <w:marTop w:val="0"/>
      <w:marBottom w:val="0"/>
      <w:divBdr>
        <w:top w:val="none" w:sz="0" w:space="0" w:color="auto"/>
        <w:left w:val="none" w:sz="0" w:space="0" w:color="auto"/>
        <w:bottom w:val="none" w:sz="0" w:space="0" w:color="auto"/>
        <w:right w:val="none" w:sz="0" w:space="0" w:color="auto"/>
      </w:divBdr>
    </w:div>
    <w:div w:id="1176651793">
      <w:bodyDiv w:val="1"/>
      <w:marLeft w:val="0"/>
      <w:marRight w:val="0"/>
      <w:marTop w:val="0"/>
      <w:marBottom w:val="0"/>
      <w:divBdr>
        <w:top w:val="none" w:sz="0" w:space="0" w:color="auto"/>
        <w:left w:val="none" w:sz="0" w:space="0" w:color="auto"/>
        <w:bottom w:val="none" w:sz="0" w:space="0" w:color="auto"/>
        <w:right w:val="none" w:sz="0" w:space="0" w:color="auto"/>
      </w:divBdr>
    </w:div>
    <w:div w:id="1314410771">
      <w:bodyDiv w:val="1"/>
      <w:marLeft w:val="0"/>
      <w:marRight w:val="0"/>
      <w:marTop w:val="0"/>
      <w:marBottom w:val="0"/>
      <w:divBdr>
        <w:top w:val="none" w:sz="0" w:space="0" w:color="auto"/>
        <w:left w:val="none" w:sz="0" w:space="0" w:color="auto"/>
        <w:bottom w:val="none" w:sz="0" w:space="0" w:color="auto"/>
        <w:right w:val="none" w:sz="0" w:space="0" w:color="auto"/>
      </w:divBdr>
    </w:div>
    <w:div w:id="1344168905">
      <w:bodyDiv w:val="1"/>
      <w:marLeft w:val="0"/>
      <w:marRight w:val="0"/>
      <w:marTop w:val="0"/>
      <w:marBottom w:val="0"/>
      <w:divBdr>
        <w:top w:val="none" w:sz="0" w:space="0" w:color="auto"/>
        <w:left w:val="none" w:sz="0" w:space="0" w:color="auto"/>
        <w:bottom w:val="none" w:sz="0" w:space="0" w:color="auto"/>
        <w:right w:val="none" w:sz="0" w:space="0" w:color="auto"/>
      </w:divBdr>
    </w:div>
    <w:div w:id="1474786243">
      <w:bodyDiv w:val="1"/>
      <w:marLeft w:val="0"/>
      <w:marRight w:val="0"/>
      <w:marTop w:val="0"/>
      <w:marBottom w:val="0"/>
      <w:divBdr>
        <w:top w:val="none" w:sz="0" w:space="0" w:color="auto"/>
        <w:left w:val="none" w:sz="0" w:space="0" w:color="auto"/>
        <w:bottom w:val="none" w:sz="0" w:space="0" w:color="auto"/>
        <w:right w:val="none" w:sz="0" w:space="0" w:color="auto"/>
      </w:divBdr>
    </w:div>
    <w:div w:id="1892573317">
      <w:bodyDiv w:val="1"/>
      <w:marLeft w:val="0"/>
      <w:marRight w:val="0"/>
      <w:marTop w:val="0"/>
      <w:marBottom w:val="0"/>
      <w:divBdr>
        <w:top w:val="none" w:sz="0" w:space="0" w:color="auto"/>
        <w:left w:val="none" w:sz="0" w:space="0" w:color="auto"/>
        <w:bottom w:val="none" w:sz="0" w:space="0" w:color="auto"/>
        <w:right w:val="none" w:sz="0" w:space="0" w:color="auto"/>
      </w:divBdr>
    </w:div>
    <w:div w:id="1971864890">
      <w:bodyDiv w:val="1"/>
      <w:marLeft w:val="0"/>
      <w:marRight w:val="0"/>
      <w:marTop w:val="0"/>
      <w:marBottom w:val="0"/>
      <w:divBdr>
        <w:top w:val="none" w:sz="0" w:space="0" w:color="auto"/>
        <w:left w:val="none" w:sz="0" w:space="0" w:color="auto"/>
        <w:bottom w:val="none" w:sz="0" w:space="0" w:color="auto"/>
        <w:right w:val="none" w:sz="0" w:space="0" w:color="auto"/>
      </w:divBdr>
    </w:div>
    <w:div w:id="2025594965">
      <w:bodyDiv w:val="1"/>
      <w:marLeft w:val="0"/>
      <w:marRight w:val="0"/>
      <w:marTop w:val="0"/>
      <w:marBottom w:val="0"/>
      <w:divBdr>
        <w:top w:val="none" w:sz="0" w:space="0" w:color="auto"/>
        <w:left w:val="none" w:sz="0" w:space="0" w:color="auto"/>
        <w:bottom w:val="none" w:sz="0" w:space="0" w:color="auto"/>
        <w:right w:val="none" w:sz="0" w:space="0" w:color="auto"/>
      </w:divBdr>
    </w:div>
    <w:div w:id="203148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krellmajuma03\Desktop\KA%20MB.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Anteil</a:t>
            </a:r>
            <a:r>
              <a:rPr lang="de-DE" baseline="0"/>
              <a:t> der </a:t>
            </a:r>
            <a:r>
              <a:rPr lang="de-DE"/>
              <a:t>Beschäftigten mit Betriebsrat in %</a:t>
            </a:r>
          </a:p>
        </c:rich>
      </c:tx>
      <c:layout>
        <c:manualLayout>
          <c:xMode val="edge"/>
          <c:yMode val="edge"/>
          <c:x val="0.2225724942846829"/>
          <c:y val="3.35570469798657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Pt>
            <c:idx val="7"/>
            <c:invertIfNegative val="0"/>
            <c:bubble3D val="0"/>
            <c:spPr>
              <a:solidFill>
                <a:schemeClr val="accent2">
                  <a:lumMod val="60000"/>
                </a:schemeClr>
              </a:solidFill>
              <a:ln>
                <a:noFill/>
              </a:ln>
              <a:effectLst/>
            </c:spPr>
          </c:dPt>
          <c:dPt>
            <c:idx val="8"/>
            <c:invertIfNegative val="0"/>
            <c:bubble3D val="0"/>
            <c:spPr>
              <a:solidFill>
                <a:schemeClr val="accent3">
                  <a:lumMod val="60000"/>
                </a:schemeClr>
              </a:solidFill>
              <a:ln>
                <a:noFill/>
              </a:ln>
              <a:effectLst/>
            </c:spPr>
          </c:dPt>
          <c:dPt>
            <c:idx val="9"/>
            <c:invertIfNegative val="0"/>
            <c:bubble3D val="0"/>
            <c:spPr>
              <a:solidFill>
                <a:schemeClr val="accent4">
                  <a:lumMod val="6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Arbeitsblatt1!$P$32:$Y$32</c:f>
              <c:strCache>
                <c:ptCount val="10"/>
                <c:pt idx="0">
                  <c:v>Ostdeutschland</c:v>
                </c:pt>
                <c:pt idx="1">
                  <c:v>Westdeutschland</c:v>
                </c:pt>
                <c:pt idx="2">
                  <c:v>Energie/
Wasser/Abfall
Bergbau (Ost)</c:v>
                </c:pt>
                <c:pt idx="3">
                  <c:v>Energie/
Wasser/Abfall
Bergbau (West)</c:v>
                </c:pt>
                <c:pt idx="4">
                  <c:v>Baugewerbe (Ost)</c:v>
                </c:pt>
                <c:pt idx="5">
                  <c:v>Bauegewerbe (West)</c:v>
                </c:pt>
                <c:pt idx="6">
                  <c:v>Handel (Ost)</c:v>
                </c:pt>
                <c:pt idx="7">
                  <c:v>Handel (West)</c:v>
                </c:pt>
                <c:pt idx="8">
                  <c:v>Gastgew. sonst. DL (Ost)</c:v>
                </c:pt>
                <c:pt idx="9">
                  <c:v>Gastgew. sonst. DL (West)</c:v>
                </c:pt>
              </c:strCache>
            </c:strRef>
          </c:cat>
          <c:val>
            <c:numRef>
              <c:f>Arbeitsblatt1!$P$33:$Y$33</c:f>
              <c:numCache>
                <c:formatCode>General</c:formatCode>
                <c:ptCount val="10"/>
                <c:pt idx="0">
                  <c:v>35</c:v>
                </c:pt>
                <c:pt idx="1">
                  <c:v>42</c:v>
                </c:pt>
                <c:pt idx="2">
                  <c:v>74</c:v>
                </c:pt>
                <c:pt idx="3">
                  <c:v>81</c:v>
                </c:pt>
                <c:pt idx="4">
                  <c:v>14</c:v>
                </c:pt>
                <c:pt idx="5">
                  <c:v>17</c:v>
                </c:pt>
                <c:pt idx="6">
                  <c:v>19</c:v>
                </c:pt>
                <c:pt idx="7">
                  <c:v>30</c:v>
                </c:pt>
                <c:pt idx="8">
                  <c:v>9</c:v>
                </c:pt>
                <c:pt idx="9">
                  <c:v>11</c:v>
                </c:pt>
              </c:numCache>
            </c:numRef>
          </c:val>
        </c:ser>
        <c:dLbls>
          <c:showLegendKey val="0"/>
          <c:showVal val="0"/>
          <c:showCatName val="0"/>
          <c:showSerName val="0"/>
          <c:showPercent val="0"/>
          <c:showBubbleSize val="0"/>
        </c:dLbls>
        <c:gapWidth val="219"/>
        <c:overlap val="-27"/>
        <c:axId val="612416384"/>
        <c:axId val="612414816"/>
      </c:barChart>
      <c:catAx>
        <c:axId val="61241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de-DE"/>
          </a:p>
        </c:txPr>
        <c:crossAx val="612414816"/>
        <c:crosses val="autoZero"/>
        <c:auto val="1"/>
        <c:lblAlgn val="ctr"/>
        <c:lblOffset val="100"/>
        <c:noMultiLvlLbl val="0"/>
      </c:catAx>
      <c:valAx>
        <c:axId val="612414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612416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3978B-8C39-4B1B-AF45-CF6D306C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9189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Fraktion - DIE LINKE</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mwischmann</dc:creator>
  <cp:keywords/>
  <dc:description/>
  <cp:lastModifiedBy>Hannes Strobel - MdB Jutta Krellmann</cp:lastModifiedBy>
  <cp:revision>5</cp:revision>
  <cp:lastPrinted>2019-07-09T13:06:00Z</cp:lastPrinted>
  <dcterms:created xsi:type="dcterms:W3CDTF">2019-07-16T15:17:00Z</dcterms:created>
  <dcterms:modified xsi:type="dcterms:W3CDTF">2019-07-17T09:02:00Z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-1232101269</vt:i4>
  </property>
</Properties>
</file>