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84" w:rsidRDefault="0076216B" w:rsidP="002D4F07">
      <w:pPr>
        <w:tabs>
          <w:tab w:val="left" w:pos="3660"/>
        </w:tabs>
        <w:spacing w:after="120" w:line="240" w:lineRule="auto"/>
        <w:jc w:val="both"/>
        <w:rPr>
          <w:rFonts w:asciiTheme="minorHAnsi" w:hAnsiTheme="minorHAnsi" w:cs="Arial"/>
          <w:b/>
          <w:sz w:val="28"/>
          <w:szCs w:val="28"/>
        </w:rPr>
      </w:pPr>
      <w:r>
        <w:rPr>
          <w:rFonts w:asciiTheme="minorHAnsi" w:hAnsiTheme="minorHAnsi" w:cs="Arial"/>
          <w:b/>
          <w:sz w:val="28"/>
          <w:szCs w:val="28"/>
        </w:rPr>
        <w:t xml:space="preserve">COVID-19: </w:t>
      </w:r>
      <w:r w:rsidR="00075D47">
        <w:rPr>
          <w:rFonts w:asciiTheme="minorHAnsi" w:hAnsiTheme="minorHAnsi" w:cs="Arial"/>
          <w:b/>
          <w:sz w:val="28"/>
          <w:szCs w:val="28"/>
        </w:rPr>
        <w:t>Über zwei Drittel der gemeldeten Arbeitsunfälle nicht anerkannt</w:t>
      </w:r>
    </w:p>
    <w:p w:rsidR="005D70B1" w:rsidRPr="002D4F07" w:rsidRDefault="002860CC" w:rsidP="008A0D4F">
      <w:pPr>
        <w:tabs>
          <w:tab w:val="left" w:pos="3660"/>
        </w:tabs>
        <w:spacing w:after="120" w:line="240" w:lineRule="auto"/>
        <w:jc w:val="both"/>
        <w:rPr>
          <w:rFonts w:asciiTheme="minorHAnsi" w:hAnsiTheme="minorHAnsi" w:cs="Arial"/>
          <w:b/>
        </w:rPr>
      </w:pPr>
      <w:r>
        <w:rPr>
          <w:rFonts w:asciiTheme="minorHAnsi" w:hAnsiTheme="minorHAnsi" w:cs="Arial"/>
          <w:b/>
        </w:rPr>
        <w:t>Auswertung der</w:t>
      </w:r>
      <w:r w:rsidR="00D11A10" w:rsidRPr="001F4518">
        <w:rPr>
          <w:rFonts w:asciiTheme="minorHAnsi" w:hAnsiTheme="minorHAnsi" w:cs="Arial"/>
          <w:b/>
        </w:rPr>
        <w:t xml:space="preserve"> Antw</w:t>
      </w:r>
      <w:r>
        <w:rPr>
          <w:rFonts w:asciiTheme="minorHAnsi" w:hAnsiTheme="minorHAnsi" w:cs="Arial"/>
          <w:b/>
        </w:rPr>
        <w:t>ort der</w:t>
      </w:r>
      <w:r w:rsidR="002532C6" w:rsidRPr="001F4518">
        <w:rPr>
          <w:rFonts w:asciiTheme="minorHAnsi" w:hAnsiTheme="minorHAnsi" w:cs="Arial"/>
          <w:b/>
        </w:rPr>
        <w:t xml:space="preserve"> Bundesregierung auf </w:t>
      </w:r>
      <w:r>
        <w:rPr>
          <w:rFonts w:asciiTheme="minorHAnsi" w:hAnsiTheme="minorHAnsi" w:cs="Arial"/>
          <w:b/>
        </w:rPr>
        <w:t>die k</w:t>
      </w:r>
      <w:r w:rsidR="00D11A10" w:rsidRPr="001F4518">
        <w:rPr>
          <w:rFonts w:asciiTheme="minorHAnsi" w:hAnsiTheme="minorHAnsi" w:cs="Arial"/>
          <w:b/>
        </w:rPr>
        <w:t>leine Anfrage „</w:t>
      </w:r>
      <w:r w:rsidR="008A0D4F" w:rsidRPr="008A0D4F">
        <w:rPr>
          <w:rFonts w:asciiTheme="minorHAnsi" w:hAnsiTheme="minorHAnsi" w:cs="Arial"/>
          <w:b/>
        </w:rPr>
        <w:t>Entschädigung arbeitsbedingter Corona-Erk</w:t>
      </w:r>
      <w:r w:rsidR="008A0D4F">
        <w:rPr>
          <w:rFonts w:asciiTheme="minorHAnsi" w:hAnsiTheme="minorHAnsi" w:cs="Arial"/>
          <w:b/>
        </w:rPr>
        <w:t>rankungen durch die</w:t>
      </w:r>
      <w:r w:rsidR="006B23DB">
        <w:rPr>
          <w:rFonts w:asciiTheme="minorHAnsi" w:hAnsiTheme="minorHAnsi" w:cs="Arial"/>
          <w:b/>
        </w:rPr>
        <w:t xml:space="preserve"> DGUV</w:t>
      </w:r>
      <w:r w:rsidR="008A0D4F">
        <w:rPr>
          <w:rFonts w:asciiTheme="minorHAnsi" w:hAnsiTheme="minorHAnsi" w:cs="Arial"/>
          <w:b/>
        </w:rPr>
        <w:t>“ (</w:t>
      </w:r>
      <w:proofErr w:type="spellStart"/>
      <w:r w:rsidR="008A0D4F" w:rsidRPr="008A0D4F">
        <w:rPr>
          <w:rFonts w:asciiTheme="minorHAnsi" w:hAnsiTheme="minorHAnsi" w:cs="Arial"/>
          <w:b/>
        </w:rPr>
        <w:t>Drs</w:t>
      </w:r>
      <w:proofErr w:type="spellEnd"/>
      <w:r w:rsidR="008A0D4F" w:rsidRPr="008A0D4F">
        <w:rPr>
          <w:rFonts w:asciiTheme="minorHAnsi" w:hAnsiTheme="minorHAnsi" w:cs="Arial"/>
          <w:b/>
        </w:rPr>
        <w:t>. 19/29319</w:t>
      </w:r>
      <w:r w:rsidR="008A0D4F">
        <w:rPr>
          <w:rFonts w:asciiTheme="minorHAnsi" w:hAnsiTheme="minorHAnsi" w:cs="Arial"/>
          <w:b/>
        </w:rPr>
        <w:t xml:space="preserve">) </w:t>
      </w:r>
      <w:r w:rsidR="00D11A10" w:rsidRPr="001F4518">
        <w:rPr>
          <w:rFonts w:asciiTheme="minorHAnsi" w:hAnsiTheme="minorHAnsi" w:cs="Arial"/>
          <w:b/>
        </w:rPr>
        <w:t xml:space="preserve">von </w:t>
      </w:r>
      <w:r w:rsidR="00050E05" w:rsidRPr="001F4518">
        <w:rPr>
          <w:rFonts w:asciiTheme="minorHAnsi" w:hAnsiTheme="minorHAnsi" w:cs="Arial"/>
          <w:b/>
        </w:rPr>
        <w:t>Jutta Krellmann</w:t>
      </w:r>
      <w:r w:rsidR="00D11A10" w:rsidRPr="001F4518">
        <w:rPr>
          <w:rFonts w:asciiTheme="minorHAnsi" w:hAnsiTheme="minorHAnsi" w:cs="Arial"/>
          <w:b/>
        </w:rPr>
        <w:t xml:space="preserve"> u.a</w:t>
      </w:r>
      <w:r w:rsidR="006D0E89" w:rsidRPr="001F4518">
        <w:rPr>
          <w:rFonts w:asciiTheme="minorHAnsi" w:hAnsiTheme="minorHAnsi" w:cs="Arial"/>
          <w:b/>
        </w:rPr>
        <w:t>.</w:t>
      </w:r>
      <w:r w:rsidR="008C789B" w:rsidRPr="001F4518">
        <w:rPr>
          <w:rFonts w:asciiTheme="minorHAnsi" w:hAnsiTheme="minorHAnsi" w:cs="Arial"/>
          <w:b/>
        </w:rPr>
        <w:t xml:space="preserve">, </w:t>
      </w:r>
      <w:r w:rsidR="006D0E89" w:rsidRPr="001F4518">
        <w:rPr>
          <w:rFonts w:asciiTheme="minorHAnsi" w:hAnsiTheme="minorHAnsi" w:cs="Arial"/>
          <w:b/>
        </w:rPr>
        <w:t xml:space="preserve">DIE LINKE </w:t>
      </w:r>
    </w:p>
    <w:p w:rsidR="00B432FE" w:rsidRDefault="00FC3F3F" w:rsidP="008A0D4F">
      <w:pPr>
        <w:spacing w:after="120" w:line="240" w:lineRule="auto"/>
        <w:jc w:val="both"/>
        <w:rPr>
          <w:rFonts w:asciiTheme="minorHAnsi" w:hAnsiTheme="minorHAnsi" w:cs="Arial"/>
          <w:b/>
          <w:u w:val="single"/>
        </w:rPr>
      </w:pPr>
      <w:r w:rsidRPr="001F4518">
        <w:rPr>
          <w:rFonts w:asciiTheme="minorHAnsi" w:hAnsiTheme="minorHAnsi" w:cs="Arial"/>
          <w:b/>
          <w:u w:val="single"/>
        </w:rPr>
        <w:t xml:space="preserve">Zusammenfassung: </w:t>
      </w:r>
    </w:p>
    <w:p w:rsidR="00D22E0C" w:rsidRDefault="00D22E0C" w:rsidP="006B23DB">
      <w:pPr>
        <w:spacing w:after="120" w:line="240" w:lineRule="auto"/>
        <w:jc w:val="both"/>
        <w:rPr>
          <w:rFonts w:asciiTheme="minorHAnsi" w:eastAsia="Times New Roman" w:hAnsiTheme="minorHAnsi" w:cstheme="minorHAnsi"/>
          <w:lang w:eastAsia="zh-CN"/>
        </w:rPr>
      </w:pPr>
      <w:r>
        <w:rPr>
          <w:rFonts w:asciiTheme="minorHAnsi" w:eastAsia="Times New Roman" w:hAnsiTheme="minorHAnsi" w:cstheme="minorHAnsi"/>
          <w:lang w:eastAsia="zh-CN"/>
        </w:rPr>
        <w:t xml:space="preserve">Es wurden </w:t>
      </w:r>
      <w:r w:rsidRPr="00D22E0C">
        <w:rPr>
          <w:rFonts w:asciiTheme="minorHAnsi" w:eastAsia="Times New Roman" w:hAnsiTheme="minorHAnsi" w:cstheme="minorHAnsi"/>
          <w:lang w:eastAsia="zh-CN"/>
        </w:rPr>
        <w:t>119.675 Anzeigen auf Verdacht v</w:t>
      </w:r>
      <w:r>
        <w:rPr>
          <w:rFonts w:asciiTheme="minorHAnsi" w:eastAsia="Times New Roman" w:hAnsiTheme="minorHAnsi" w:cstheme="minorHAnsi"/>
          <w:lang w:eastAsia="zh-CN"/>
        </w:rPr>
        <w:t xml:space="preserve">on COVID-19 als Berufskrankheit gestellt und  </w:t>
      </w:r>
      <w:r w:rsidRPr="00D22E0C">
        <w:rPr>
          <w:rFonts w:asciiTheme="minorHAnsi" w:eastAsia="Times New Roman" w:hAnsiTheme="minorHAnsi" w:cstheme="minorHAnsi"/>
          <w:lang w:eastAsia="zh-CN"/>
        </w:rPr>
        <w:t xml:space="preserve">71.232 Fälle </w:t>
      </w:r>
      <w:r>
        <w:rPr>
          <w:rFonts w:asciiTheme="minorHAnsi" w:eastAsia="Times New Roman" w:hAnsiTheme="minorHAnsi" w:cstheme="minorHAnsi"/>
          <w:lang w:eastAsia="zh-CN"/>
        </w:rPr>
        <w:t xml:space="preserve">anerkannt. Dies </w:t>
      </w:r>
      <w:r w:rsidRPr="00D22E0C">
        <w:rPr>
          <w:rFonts w:asciiTheme="minorHAnsi" w:eastAsia="Times New Roman" w:hAnsiTheme="minorHAnsi" w:cstheme="minorHAnsi"/>
          <w:lang w:eastAsia="zh-CN"/>
        </w:rPr>
        <w:t xml:space="preserve">entspricht </w:t>
      </w:r>
      <w:r>
        <w:rPr>
          <w:rFonts w:asciiTheme="minorHAnsi" w:eastAsia="Times New Roman" w:hAnsiTheme="minorHAnsi" w:cstheme="minorHAnsi"/>
          <w:lang w:eastAsia="zh-CN"/>
        </w:rPr>
        <w:t xml:space="preserve">einer </w:t>
      </w:r>
      <w:r w:rsidRPr="00D22E0C">
        <w:rPr>
          <w:rFonts w:asciiTheme="minorHAnsi" w:eastAsia="Times New Roman" w:hAnsiTheme="minorHAnsi" w:cstheme="minorHAnsi"/>
          <w:lang w:eastAsia="zh-CN"/>
        </w:rPr>
        <w:t xml:space="preserve">Anerkennungsquote von </w:t>
      </w:r>
      <w:r>
        <w:rPr>
          <w:rFonts w:asciiTheme="minorHAnsi" w:eastAsia="Times New Roman" w:hAnsiTheme="minorHAnsi" w:cstheme="minorHAnsi"/>
          <w:lang w:eastAsia="zh-CN"/>
        </w:rPr>
        <w:t xml:space="preserve">knapp 60 Prozent. </w:t>
      </w:r>
      <w:r w:rsidR="003655C0" w:rsidRPr="003655C0">
        <w:rPr>
          <w:rFonts w:asciiTheme="minorHAnsi" w:eastAsia="Times New Roman" w:hAnsiTheme="minorHAnsi" w:cstheme="minorHAnsi"/>
          <w:lang w:eastAsia="zh-CN"/>
        </w:rPr>
        <w:t xml:space="preserve">Etwa sieben von zehn </w:t>
      </w:r>
      <w:r w:rsidRPr="00D22E0C">
        <w:rPr>
          <w:rFonts w:asciiTheme="minorHAnsi" w:eastAsia="Times New Roman" w:hAnsiTheme="minorHAnsi" w:cstheme="minorHAnsi"/>
          <w:lang w:eastAsia="zh-CN"/>
        </w:rPr>
        <w:t xml:space="preserve">Anzeigen wurden bei der Berufsgenossenschaft für Gesundheitsdienst </w:t>
      </w:r>
      <w:r>
        <w:rPr>
          <w:rFonts w:asciiTheme="minorHAnsi" w:eastAsia="Times New Roman" w:hAnsiTheme="minorHAnsi" w:cstheme="minorHAnsi"/>
          <w:lang w:eastAsia="zh-CN"/>
        </w:rPr>
        <w:t>und Wohlfahrtspflege gestellt</w:t>
      </w:r>
      <w:r w:rsidR="003655C0">
        <w:rPr>
          <w:rFonts w:asciiTheme="minorHAnsi" w:eastAsia="Times New Roman" w:hAnsiTheme="minorHAnsi" w:cstheme="minorHAnsi"/>
          <w:lang w:eastAsia="zh-CN"/>
        </w:rPr>
        <w:t xml:space="preserve">, etwa 60 Prozent davon wurden anerkannt. </w:t>
      </w:r>
    </w:p>
    <w:p w:rsidR="00D22E0C" w:rsidRDefault="00D22E0C" w:rsidP="00D22E0C">
      <w:pPr>
        <w:spacing w:after="0" w:line="240" w:lineRule="auto"/>
        <w:jc w:val="both"/>
        <w:rPr>
          <w:rFonts w:asciiTheme="minorHAnsi" w:hAnsiTheme="minorHAnsi" w:cs="Arial"/>
          <w:bCs/>
        </w:rPr>
      </w:pPr>
      <w:r>
        <w:rPr>
          <w:rFonts w:asciiTheme="minorHAnsi" w:hAnsiTheme="minorHAnsi" w:cs="Arial"/>
          <w:bCs/>
        </w:rPr>
        <w:t xml:space="preserve">Von </w:t>
      </w:r>
      <w:r w:rsidRPr="00D22E0C">
        <w:rPr>
          <w:rFonts w:asciiTheme="minorHAnsi" w:hAnsiTheme="minorHAnsi" w:cs="Arial"/>
          <w:bCs/>
        </w:rPr>
        <w:t xml:space="preserve">20.392 </w:t>
      </w:r>
      <w:r>
        <w:rPr>
          <w:rFonts w:asciiTheme="minorHAnsi" w:hAnsiTheme="minorHAnsi" w:cs="Arial"/>
          <w:bCs/>
        </w:rPr>
        <w:t xml:space="preserve">gemeldeten </w:t>
      </w:r>
      <w:r w:rsidRPr="00D22E0C">
        <w:rPr>
          <w:rFonts w:asciiTheme="minorHAnsi" w:hAnsiTheme="minorHAnsi" w:cs="Arial"/>
          <w:bCs/>
        </w:rPr>
        <w:t>Fälle</w:t>
      </w:r>
      <w:r>
        <w:rPr>
          <w:rFonts w:asciiTheme="minorHAnsi" w:hAnsiTheme="minorHAnsi" w:cs="Arial"/>
          <w:bCs/>
        </w:rPr>
        <w:t>n</w:t>
      </w:r>
      <w:r w:rsidRPr="00D22E0C">
        <w:rPr>
          <w:rFonts w:asciiTheme="minorHAnsi" w:hAnsiTheme="minorHAnsi" w:cs="Arial"/>
          <w:bCs/>
        </w:rPr>
        <w:t xml:space="preserve"> von COVID</w:t>
      </w:r>
      <w:r>
        <w:rPr>
          <w:rFonts w:asciiTheme="minorHAnsi" w:hAnsiTheme="minorHAnsi" w:cs="Arial"/>
          <w:bCs/>
        </w:rPr>
        <w:t xml:space="preserve">-19 als Arbeitsunfall wurden </w:t>
      </w:r>
      <w:r w:rsidRPr="00D22E0C">
        <w:rPr>
          <w:rFonts w:asciiTheme="minorHAnsi" w:hAnsiTheme="minorHAnsi" w:cs="Arial"/>
          <w:bCs/>
        </w:rPr>
        <w:t xml:space="preserve">6.107 </w:t>
      </w:r>
      <w:r>
        <w:rPr>
          <w:rFonts w:asciiTheme="minorHAnsi" w:hAnsiTheme="minorHAnsi" w:cs="Arial"/>
          <w:bCs/>
        </w:rPr>
        <w:t xml:space="preserve">anerkannt, dies </w:t>
      </w:r>
      <w:r w:rsidRPr="00D22E0C">
        <w:rPr>
          <w:rFonts w:asciiTheme="minorHAnsi" w:hAnsiTheme="minorHAnsi" w:cs="Arial"/>
          <w:bCs/>
        </w:rPr>
        <w:t xml:space="preserve">entspricht Anerkennungsquote von </w:t>
      </w:r>
      <w:r>
        <w:rPr>
          <w:rFonts w:asciiTheme="minorHAnsi" w:hAnsiTheme="minorHAnsi" w:cs="Arial"/>
          <w:bCs/>
        </w:rPr>
        <w:t>knapp 30 Prozent. D</w:t>
      </w:r>
      <w:r w:rsidRPr="00D22E0C">
        <w:rPr>
          <w:rFonts w:asciiTheme="minorHAnsi" w:hAnsiTheme="minorHAnsi" w:cs="Arial"/>
          <w:bCs/>
        </w:rPr>
        <w:t>ie meisten wurden bei den Unfallversicherungsträgern der öffentlichen Hand und der BG Nahrungs</w:t>
      </w:r>
      <w:r>
        <w:rPr>
          <w:rFonts w:asciiTheme="minorHAnsi" w:hAnsiTheme="minorHAnsi" w:cs="Arial"/>
          <w:bCs/>
        </w:rPr>
        <w:t>mittel und Gastgewerbe</w:t>
      </w:r>
      <w:r w:rsidR="00BC596C">
        <w:rPr>
          <w:rFonts w:asciiTheme="minorHAnsi" w:hAnsiTheme="minorHAnsi" w:cs="Arial"/>
          <w:bCs/>
        </w:rPr>
        <w:t xml:space="preserve"> (BGN)</w:t>
      </w:r>
      <w:r>
        <w:rPr>
          <w:rFonts w:asciiTheme="minorHAnsi" w:hAnsiTheme="minorHAnsi" w:cs="Arial"/>
          <w:bCs/>
        </w:rPr>
        <w:t xml:space="preserve"> gemeldet. Die Anerkennungsquote bei den Unfallkassen liegt bei knapp 45 Prozent, bei der BGN bei etwa 14 Prozent. </w:t>
      </w:r>
    </w:p>
    <w:p w:rsidR="006B23DB" w:rsidRDefault="006B23DB" w:rsidP="00D22E0C">
      <w:pPr>
        <w:spacing w:after="0" w:line="240" w:lineRule="auto"/>
        <w:jc w:val="both"/>
        <w:rPr>
          <w:rFonts w:asciiTheme="minorHAnsi" w:hAnsiTheme="minorHAnsi" w:cs="Arial"/>
          <w:bCs/>
        </w:rPr>
      </w:pPr>
    </w:p>
    <w:p w:rsidR="006B23DB" w:rsidRPr="00D22E0C" w:rsidRDefault="006B23DB" w:rsidP="00D22E0C">
      <w:pPr>
        <w:spacing w:after="0" w:line="240" w:lineRule="auto"/>
        <w:jc w:val="both"/>
        <w:rPr>
          <w:rFonts w:asciiTheme="minorHAnsi" w:hAnsiTheme="minorHAnsi" w:cs="Arial"/>
          <w:bCs/>
        </w:rPr>
      </w:pPr>
      <w:r w:rsidRPr="00337089">
        <w:rPr>
          <w:noProof/>
          <w:color w:val="7030A0"/>
          <w:highlight w:val="yellow"/>
          <w:lang w:eastAsia="de-DE"/>
        </w:rPr>
        <w:drawing>
          <wp:inline distT="0" distB="0" distL="0" distR="0">
            <wp:extent cx="5743575" cy="2743200"/>
            <wp:effectExtent l="0" t="0" r="9525"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2E0C" w:rsidRDefault="00D22E0C" w:rsidP="00D22E0C">
      <w:pPr>
        <w:spacing w:after="0" w:line="240" w:lineRule="auto"/>
        <w:jc w:val="both"/>
        <w:rPr>
          <w:rFonts w:asciiTheme="minorHAnsi" w:hAnsiTheme="minorHAnsi" w:cs="Arial"/>
          <w:bCs/>
        </w:rPr>
      </w:pPr>
    </w:p>
    <w:p w:rsidR="00D22E0C" w:rsidRDefault="00D22E0C" w:rsidP="006B23DB">
      <w:pPr>
        <w:spacing w:after="120" w:line="240" w:lineRule="auto"/>
        <w:jc w:val="both"/>
        <w:rPr>
          <w:rFonts w:asciiTheme="minorHAnsi" w:hAnsiTheme="minorHAnsi" w:cs="Arial"/>
          <w:bCs/>
        </w:rPr>
      </w:pPr>
      <w:r w:rsidRPr="00D22E0C">
        <w:rPr>
          <w:rFonts w:asciiTheme="minorHAnsi" w:hAnsiTheme="minorHAnsi" w:cs="Arial"/>
          <w:bCs/>
        </w:rPr>
        <w:t xml:space="preserve">Bei der </w:t>
      </w:r>
      <w:r w:rsidR="003655C0" w:rsidRPr="003655C0">
        <w:rPr>
          <w:rFonts w:asciiTheme="minorHAnsi" w:hAnsiTheme="minorHAnsi" w:cs="Arial"/>
          <w:bCs/>
        </w:rPr>
        <w:t xml:space="preserve">Sozialversicherung für Landwirtschaft, Forsten und Gartenbau </w:t>
      </w:r>
      <w:r w:rsidR="003655C0">
        <w:rPr>
          <w:rFonts w:asciiTheme="minorHAnsi" w:hAnsiTheme="minorHAnsi" w:cs="Arial"/>
          <w:bCs/>
        </w:rPr>
        <w:t>(</w:t>
      </w:r>
      <w:r w:rsidRPr="00D22E0C">
        <w:rPr>
          <w:rFonts w:asciiTheme="minorHAnsi" w:hAnsiTheme="minorHAnsi" w:cs="Arial"/>
          <w:bCs/>
        </w:rPr>
        <w:t>SVLFG</w:t>
      </w:r>
      <w:r w:rsidR="003655C0">
        <w:rPr>
          <w:rFonts w:asciiTheme="minorHAnsi" w:hAnsiTheme="minorHAnsi" w:cs="Arial"/>
          <w:bCs/>
        </w:rPr>
        <w:t>)</w:t>
      </w:r>
      <w:r w:rsidRPr="00D22E0C">
        <w:rPr>
          <w:rFonts w:asciiTheme="minorHAnsi" w:hAnsiTheme="minorHAnsi" w:cs="Arial"/>
          <w:bCs/>
        </w:rPr>
        <w:t xml:space="preserve"> wurden zwei Anzeigen </w:t>
      </w:r>
      <w:r w:rsidR="003655C0">
        <w:rPr>
          <w:rFonts w:asciiTheme="minorHAnsi" w:hAnsiTheme="minorHAnsi" w:cs="Arial"/>
          <w:bCs/>
        </w:rPr>
        <w:t xml:space="preserve">auf COVID-19 als Berufskrankheit </w:t>
      </w:r>
      <w:r w:rsidRPr="00D22E0C">
        <w:rPr>
          <w:rFonts w:asciiTheme="minorHAnsi" w:hAnsiTheme="minorHAnsi" w:cs="Arial"/>
          <w:bCs/>
        </w:rPr>
        <w:t>gestellt, beide wurden abgelehnt.</w:t>
      </w:r>
      <w:r>
        <w:rPr>
          <w:rFonts w:asciiTheme="minorHAnsi" w:hAnsiTheme="minorHAnsi" w:cs="Arial"/>
          <w:bCs/>
        </w:rPr>
        <w:t xml:space="preserve"> </w:t>
      </w:r>
      <w:r w:rsidRPr="00D22E0C">
        <w:rPr>
          <w:rFonts w:asciiTheme="minorHAnsi" w:hAnsiTheme="minorHAnsi" w:cs="Arial"/>
          <w:bCs/>
        </w:rPr>
        <w:t xml:space="preserve">Bei der SVLFG wurden 32 Arbeitsunfälle </w:t>
      </w:r>
      <w:r w:rsidR="003655C0">
        <w:rPr>
          <w:rFonts w:asciiTheme="minorHAnsi" w:hAnsiTheme="minorHAnsi" w:cs="Arial"/>
          <w:bCs/>
        </w:rPr>
        <w:t xml:space="preserve">aufgrund von COVID-19 </w:t>
      </w:r>
      <w:r w:rsidRPr="00D22E0C">
        <w:rPr>
          <w:rFonts w:asciiTheme="minorHAnsi" w:hAnsiTheme="minorHAnsi" w:cs="Arial"/>
          <w:bCs/>
        </w:rPr>
        <w:t>gemeldet, bislang wurde keiner anerkannt.</w:t>
      </w:r>
    </w:p>
    <w:p w:rsidR="00594BFA" w:rsidRPr="00C91573" w:rsidRDefault="003655C0" w:rsidP="00C91573">
      <w:pPr>
        <w:spacing w:after="120" w:line="240" w:lineRule="auto"/>
        <w:jc w:val="both"/>
        <w:rPr>
          <w:rFonts w:asciiTheme="minorHAnsi" w:hAnsiTheme="minorHAnsi" w:cs="Arial"/>
          <w:bCs/>
        </w:rPr>
      </w:pPr>
      <w:r w:rsidRPr="003655C0">
        <w:rPr>
          <w:rFonts w:asciiTheme="minorHAnsi" w:hAnsiTheme="minorHAnsi" w:cs="Arial"/>
          <w:bCs/>
        </w:rPr>
        <w:t xml:space="preserve">Die Beratungen des </w:t>
      </w:r>
      <w:r>
        <w:rPr>
          <w:rFonts w:asciiTheme="minorHAnsi" w:hAnsiTheme="minorHAnsi" w:cs="Arial"/>
          <w:bCs/>
        </w:rPr>
        <w:t>Ärztlichen Sachverständigenbeirats (</w:t>
      </w:r>
      <w:r w:rsidRPr="003655C0">
        <w:rPr>
          <w:rFonts w:asciiTheme="minorHAnsi" w:hAnsiTheme="minorHAnsi" w:cs="Arial"/>
          <w:bCs/>
        </w:rPr>
        <w:t>ÄSVB</w:t>
      </w:r>
      <w:r>
        <w:rPr>
          <w:rFonts w:asciiTheme="minorHAnsi" w:hAnsiTheme="minorHAnsi" w:cs="Arial"/>
          <w:bCs/>
        </w:rPr>
        <w:t>)</w:t>
      </w:r>
      <w:r w:rsidRPr="003655C0">
        <w:rPr>
          <w:rFonts w:asciiTheme="minorHAnsi" w:hAnsiTheme="minorHAnsi" w:cs="Arial"/>
          <w:bCs/>
        </w:rPr>
        <w:t xml:space="preserve"> zu Covid-19 sind noch n</w:t>
      </w:r>
      <w:r>
        <w:rPr>
          <w:rFonts w:asciiTheme="minorHAnsi" w:hAnsiTheme="minorHAnsi" w:cs="Arial"/>
          <w:bCs/>
        </w:rPr>
        <w:t xml:space="preserve">icht abgeschlossen. </w:t>
      </w:r>
      <w:r w:rsidR="00AF753A">
        <w:rPr>
          <w:rFonts w:asciiTheme="minorHAnsi" w:hAnsiTheme="minorHAnsi" w:cs="Arial"/>
          <w:bCs/>
        </w:rPr>
        <w:t>Das ÄSVB gibt</w:t>
      </w:r>
      <w:r w:rsidR="00B14BB5">
        <w:rPr>
          <w:rFonts w:asciiTheme="minorHAnsi" w:hAnsiTheme="minorHAnsi" w:cs="Arial"/>
          <w:bCs/>
        </w:rPr>
        <w:t xml:space="preserve"> gegenüber</w:t>
      </w:r>
      <w:r w:rsidR="00AF753A">
        <w:rPr>
          <w:rFonts w:asciiTheme="minorHAnsi" w:hAnsiTheme="minorHAnsi" w:cs="Arial"/>
          <w:bCs/>
        </w:rPr>
        <w:t xml:space="preserve"> dem Ministerium für Arbeit und Soziales Empfehlungen und Stellungahmen ab, ob auch andere Berufsgruppen und Tätigkeiten für Covid-19 als Berufskrankheit in Betracht kommen.</w:t>
      </w:r>
      <w:r>
        <w:rPr>
          <w:rFonts w:asciiTheme="minorHAnsi" w:hAnsiTheme="minorHAnsi" w:cs="Arial"/>
          <w:bCs/>
        </w:rPr>
        <w:t xml:space="preserve"> </w:t>
      </w:r>
      <w:r w:rsidRPr="003655C0">
        <w:rPr>
          <w:rFonts w:asciiTheme="minorHAnsi" w:hAnsiTheme="minorHAnsi" w:cs="Arial"/>
          <w:bCs/>
        </w:rPr>
        <w:t>Diese Frage wird vom ÄSVB anhand wissenschaftlicher Erkenntnisse und Studien zu Covid-19 geprüft. Nach aktuellem Stand konnte ein vergleichbares Infektionsrisiko bei anderen Berufsgruppen bisher noch nicht festgestellt werden</w:t>
      </w:r>
      <w:r>
        <w:rPr>
          <w:rFonts w:asciiTheme="minorHAnsi" w:hAnsiTheme="minorHAnsi" w:cs="Arial"/>
          <w:bCs/>
        </w:rPr>
        <w:t>.</w:t>
      </w:r>
    </w:p>
    <w:p w:rsidR="00663554" w:rsidRPr="00DF6150" w:rsidRDefault="00663554" w:rsidP="00663554">
      <w:pPr>
        <w:spacing w:after="0" w:line="240" w:lineRule="auto"/>
        <w:jc w:val="both"/>
        <w:rPr>
          <w:rFonts w:asciiTheme="minorHAnsi" w:hAnsiTheme="minorHAnsi" w:cs="Arial"/>
          <w:b/>
          <w:u w:val="single"/>
        </w:rPr>
      </w:pPr>
      <w:r w:rsidRPr="00DF6150">
        <w:rPr>
          <w:rFonts w:asciiTheme="minorHAnsi" w:hAnsiTheme="minorHAnsi" w:cs="Arial"/>
          <w:b/>
          <w:u w:val="single"/>
        </w:rPr>
        <w:t>O-Ton Jutta Krellmann, MdB, Sprecherin für Mitbestimmung und Arb</w:t>
      </w:r>
      <w:r w:rsidR="0087165F" w:rsidRPr="00DF6150">
        <w:rPr>
          <w:rFonts w:asciiTheme="minorHAnsi" w:hAnsiTheme="minorHAnsi" w:cs="Arial"/>
          <w:b/>
          <w:u w:val="single"/>
        </w:rPr>
        <w:t xml:space="preserve">eit, </w:t>
      </w:r>
      <w:r w:rsidRPr="00DF6150">
        <w:rPr>
          <w:rFonts w:asciiTheme="minorHAnsi" w:hAnsiTheme="minorHAnsi" w:cs="Arial"/>
          <w:b/>
          <w:u w:val="single"/>
        </w:rPr>
        <w:t>DIE LINKE im Bundestag:</w:t>
      </w:r>
    </w:p>
    <w:p w:rsidR="00733A7C" w:rsidRPr="00770CE7" w:rsidRDefault="00733A7C" w:rsidP="00663554">
      <w:pPr>
        <w:spacing w:after="0" w:line="240" w:lineRule="auto"/>
        <w:jc w:val="both"/>
        <w:rPr>
          <w:rFonts w:asciiTheme="minorHAnsi" w:hAnsiTheme="minorHAnsi" w:cs="Arial"/>
          <w:i/>
          <w:sz w:val="12"/>
          <w:szCs w:val="12"/>
          <w:highlight w:val="yellow"/>
        </w:rPr>
      </w:pPr>
    </w:p>
    <w:p w:rsidR="00E71ADC" w:rsidRDefault="00E71ADC" w:rsidP="00F00BE5">
      <w:pPr>
        <w:spacing w:after="0" w:line="240" w:lineRule="auto"/>
        <w:jc w:val="both"/>
        <w:rPr>
          <w:rFonts w:asciiTheme="minorHAnsi" w:hAnsiTheme="minorHAnsi" w:cs="Arial"/>
          <w:i/>
        </w:rPr>
      </w:pPr>
      <w:r>
        <w:rPr>
          <w:rFonts w:asciiTheme="minorHAnsi" w:hAnsiTheme="minorHAnsi" w:cs="Arial"/>
          <w:i/>
        </w:rPr>
        <w:t>„</w:t>
      </w:r>
      <w:r w:rsidR="00307A4A">
        <w:rPr>
          <w:rFonts w:asciiTheme="minorHAnsi" w:hAnsiTheme="minorHAnsi" w:cs="Arial"/>
          <w:i/>
        </w:rPr>
        <w:t>Wer bei seiner Arbeit an Corona erkrankt</w:t>
      </w:r>
      <w:r w:rsidR="00C91573">
        <w:rPr>
          <w:rFonts w:asciiTheme="minorHAnsi" w:hAnsiTheme="minorHAnsi" w:cs="Arial"/>
          <w:i/>
        </w:rPr>
        <w:t>,</w:t>
      </w:r>
      <w:r w:rsidR="00307A4A">
        <w:rPr>
          <w:rFonts w:asciiTheme="minorHAnsi" w:hAnsiTheme="minorHAnsi" w:cs="Arial"/>
          <w:i/>
        </w:rPr>
        <w:t xml:space="preserve"> muss sich auf den Schutz der gesetzlichen Unfallversicherung verlassen können. </w:t>
      </w:r>
      <w:r w:rsidR="00C91573">
        <w:rPr>
          <w:rFonts w:asciiTheme="minorHAnsi" w:hAnsiTheme="minorHAnsi" w:cs="Arial"/>
          <w:i/>
        </w:rPr>
        <w:t xml:space="preserve">Angesichts </w:t>
      </w:r>
      <w:r w:rsidR="00B14BB5">
        <w:rPr>
          <w:rFonts w:asciiTheme="minorHAnsi" w:hAnsiTheme="minorHAnsi" w:cs="Arial"/>
          <w:i/>
        </w:rPr>
        <w:t xml:space="preserve">hunderttausender </w:t>
      </w:r>
      <w:r w:rsidR="00CA3A7A">
        <w:rPr>
          <w:rFonts w:asciiTheme="minorHAnsi" w:hAnsiTheme="minorHAnsi" w:cs="Arial"/>
          <w:i/>
        </w:rPr>
        <w:t>schwer Erkrankte</w:t>
      </w:r>
      <w:r w:rsidR="00B14BB5">
        <w:rPr>
          <w:rFonts w:asciiTheme="minorHAnsi" w:hAnsiTheme="minorHAnsi" w:cs="Arial"/>
          <w:i/>
        </w:rPr>
        <w:t>r</w:t>
      </w:r>
      <w:r w:rsidR="00E46893">
        <w:rPr>
          <w:rFonts w:asciiTheme="minorHAnsi" w:hAnsiTheme="minorHAnsi" w:cs="Arial"/>
          <w:i/>
        </w:rPr>
        <w:t xml:space="preserve"> und zunehmender Langzeitfolgen </w:t>
      </w:r>
      <w:bookmarkStart w:id="0" w:name="_GoBack"/>
      <w:bookmarkEnd w:id="0"/>
      <w:r w:rsidR="00307A4A">
        <w:rPr>
          <w:rFonts w:asciiTheme="minorHAnsi" w:hAnsiTheme="minorHAnsi" w:cs="Arial"/>
          <w:i/>
        </w:rPr>
        <w:t xml:space="preserve">glaubt doch kein Mensch, dass sich nur so wenige bei der Arbeit angesteckt haben. Es darf nicht sein, dass </w:t>
      </w:r>
      <w:r w:rsidR="00C91573">
        <w:rPr>
          <w:rFonts w:asciiTheme="minorHAnsi" w:hAnsiTheme="minorHAnsi" w:cs="Arial"/>
          <w:i/>
        </w:rPr>
        <w:t xml:space="preserve">berechtigte </w:t>
      </w:r>
      <w:r w:rsidR="00307A4A">
        <w:rPr>
          <w:rFonts w:asciiTheme="minorHAnsi" w:hAnsiTheme="minorHAnsi" w:cs="Arial"/>
          <w:i/>
        </w:rPr>
        <w:t>Ansprüche</w:t>
      </w:r>
      <w:r w:rsidR="00C91573">
        <w:rPr>
          <w:rFonts w:asciiTheme="minorHAnsi" w:hAnsiTheme="minorHAnsi" w:cs="Arial"/>
          <w:i/>
        </w:rPr>
        <w:t xml:space="preserve"> ins Leere laufen, damit</w:t>
      </w:r>
      <w:r w:rsidR="00307A4A">
        <w:rPr>
          <w:rFonts w:asciiTheme="minorHAnsi" w:hAnsiTheme="minorHAnsi" w:cs="Arial"/>
          <w:i/>
        </w:rPr>
        <w:t xml:space="preserve"> die Arbeitgeberbeiträge zur Unfallversicherung </w:t>
      </w:r>
      <w:r w:rsidR="00C91573">
        <w:rPr>
          <w:rFonts w:asciiTheme="minorHAnsi" w:hAnsiTheme="minorHAnsi" w:cs="Arial"/>
          <w:i/>
        </w:rPr>
        <w:t>niedrig bleiben</w:t>
      </w:r>
      <w:r w:rsidR="00307A4A">
        <w:rPr>
          <w:rFonts w:asciiTheme="minorHAnsi" w:hAnsiTheme="minorHAnsi" w:cs="Arial"/>
          <w:i/>
        </w:rPr>
        <w:t>. Hier brauchen wir volle Transparenz und eine klare Linie. Als LINKE fordern wir einen Weg der Anerkennung für alle:</w:t>
      </w:r>
      <w:r w:rsidR="00C91573">
        <w:rPr>
          <w:rFonts w:asciiTheme="minorHAnsi" w:hAnsiTheme="minorHAnsi" w:cs="Arial"/>
          <w:i/>
        </w:rPr>
        <w:t xml:space="preserve"> Corona muss für jede</w:t>
      </w:r>
      <w:r w:rsidR="00307A4A">
        <w:rPr>
          <w:rFonts w:asciiTheme="minorHAnsi" w:hAnsiTheme="minorHAnsi" w:cs="Arial"/>
          <w:i/>
        </w:rPr>
        <w:t xml:space="preserve"> Beschäftigten</w:t>
      </w:r>
      <w:r w:rsidR="00C91573">
        <w:rPr>
          <w:rFonts w:asciiTheme="minorHAnsi" w:hAnsiTheme="minorHAnsi" w:cs="Arial"/>
          <w:i/>
        </w:rPr>
        <w:t>gruppe</w:t>
      </w:r>
      <w:r w:rsidR="00307A4A">
        <w:rPr>
          <w:rFonts w:asciiTheme="minorHAnsi" w:hAnsiTheme="minorHAnsi" w:cs="Arial"/>
          <w:i/>
        </w:rPr>
        <w:t xml:space="preserve"> als Berufskrankheit anerkannt werden können. </w:t>
      </w:r>
      <w:r w:rsidR="00C91573">
        <w:rPr>
          <w:rFonts w:asciiTheme="minorHAnsi" w:hAnsiTheme="minorHAnsi" w:cs="Arial"/>
          <w:i/>
        </w:rPr>
        <w:t>In der</w:t>
      </w:r>
      <w:r w:rsidR="00307A4A">
        <w:rPr>
          <w:rFonts w:asciiTheme="minorHAnsi" w:hAnsiTheme="minorHAnsi" w:cs="Arial"/>
          <w:i/>
        </w:rPr>
        <w:t xml:space="preserve"> Pandemie ist dies letztlich eine politische Frage, die politisch beantwortet werden muss. Außerdem brauchen wir endlich Beratungsstellen für Betroffene von Berufskrankheiten flächendeckend und in jedem Bundesland </w:t>
      </w:r>
      <w:r w:rsidR="00F74D57">
        <w:rPr>
          <w:rFonts w:asciiTheme="minorHAnsi" w:hAnsiTheme="minorHAnsi" w:cs="Arial"/>
          <w:i/>
        </w:rPr>
        <w:t xml:space="preserve">“. </w:t>
      </w:r>
    </w:p>
    <w:p w:rsidR="001F4518" w:rsidRPr="00770CE7" w:rsidRDefault="001F4518" w:rsidP="00F00BE5">
      <w:pPr>
        <w:spacing w:after="0" w:line="240" w:lineRule="auto"/>
        <w:jc w:val="both"/>
        <w:rPr>
          <w:rFonts w:asciiTheme="minorHAnsi" w:hAnsiTheme="minorHAnsi" w:cs="Arial"/>
          <w:i/>
          <w:highlight w:val="yellow"/>
        </w:rPr>
      </w:pPr>
    </w:p>
    <w:p w:rsidR="007F5854" w:rsidRDefault="007F5854" w:rsidP="007F5854">
      <w:pPr>
        <w:spacing w:after="0" w:line="240" w:lineRule="auto"/>
        <w:jc w:val="both"/>
        <w:rPr>
          <w:rFonts w:asciiTheme="minorHAnsi" w:hAnsiTheme="minorHAnsi" w:cs="Arial"/>
          <w:b/>
          <w:u w:val="single"/>
        </w:rPr>
      </w:pPr>
      <w:r w:rsidRPr="00770CE7">
        <w:rPr>
          <w:rFonts w:asciiTheme="minorHAnsi" w:hAnsiTheme="minorHAnsi" w:cs="Arial"/>
          <w:b/>
          <w:u w:val="single"/>
        </w:rPr>
        <w:t xml:space="preserve">Ergebnisse im Einzelnen: </w:t>
      </w:r>
    </w:p>
    <w:p w:rsidR="0094217B" w:rsidRPr="0094217B" w:rsidRDefault="0094217B" w:rsidP="00D544B5">
      <w:pPr>
        <w:numPr>
          <w:ilvl w:val="0"/>
          <w:numId w:val="17"/>
        </w:numPr>
        <w:spacing w:after="0" w:line="240" w:lineRule="auto"/>
        <w:contextualSpacing/>
        <w:jc w:val="both"/>
        <w:rPr>
          <w:rFonts w:asciiTheme="minorHAnsi" w:eastAsia="Arial" w:hAnsiTheme="minorHAnsi" w:cs="Arial"/>
          <w:bCs/>
          <w:color w:val="000000"/>
        </w:rPr>
      </w:pPr>
      <w:r w:rsidRPr="0094217B">
        <w:rPr>
          <w:rFonts w:asciiTheme="minorHAnsi" w:eastAsia="Arial" w:hAnsiTheme="minorHAnsi" w:cs="Arial"/>
          <w:bCs/>
          <w:color w:val="000000"/>
        </w:rPr>
        <w:t xml:space="preserve">119.675 registrierte Anzeigen auf Verdacht von </w:t>
      </w:r>
      <w:r w:rsidRPr="0094217B">
        <w:rPr>
          <w:rFonts w:asciiTheme="minorHAnsi" w:eastAsia="Arial" w:hAnsiTheme="minorHAnsi" w:cs="Arial"/>
          <w:b/>
          <w:bCs/>
          <w:color w:val="000000"/>
        </w:rPr>
        <w:t>COVID-19 als Berufskrankheit</w:t>
      </w:r>
      <w:r w:rsidR="00D544B5">
        <w:rPr>
          <w:rFonts w:asciiTheme="minorHAnsi" w:eastAsia="Arial" w:hAnsiTheme="minorHAnsi" w:cs="Arial"/>
          <w:bCs/>
          <w:color w:val="000000"/>
        </w:rPr>
        <w:t>, b</w:t>
      </w:r>
      <w:r w:rsidR="00D544B5" w:rsidRPr="00D544B5">
        <w:rPr>
          <w:rFonts w:asciiTheme="minorHAnsi" w:eastAsia="Arial" w:hAnsiTheme="minorHAnsi" w:cs="Arial"/>
          <w:bCs/>
          <w:color w:val="000000"/>
        </w:rPr>
        <w:t xml:space="preserve">is zum 30. April 2021 </w:t>
      </w:r>
      <w:r w:rsidRPr="0094217B">
        <w:rPr>
          <w:rFonts w:asciiTheme="minorHAnsi" w:eastAsia="Arial" w:hAnsiTheme="minorHAnsi" w:cs="Arial"/>
          <w:bCs/>
          <w:color w:val="000000"/>
        </w:rPr>
        <w:t>(s. Frage 1 u. 2):</w:t>
      </w:r>
    </w:p>
    <w:p w:rsidR="0094217B" w:rsidRPr="0094217B" w:rsidRDefault="0094217B" w:rsidP="0094217B">
      <w:pPr>
        <w:numPr>
          <w:ilvl w:val="1"/>
          <w:numId w:val="17"/>
        </w:numPr>
        <w:spacing w:after="0" w:line="240" w:lineRule="auto"/>
        <w:contextualSpacing/>
        <w:jc w:val="both"/>
        <w:rPr>
          <w:rFonts w:asciiTheme="minorHAnsi" w:eastAsia="Arial" w:hAnsiTheme="minorHAnsi" w:cs="Arial"/>
          <w:bCs/>
          <w:color w:val="000000"/>
        </w:rPr>
      </w:pPr>
      <w:r>
        <w:rPr>
          <w:rFonts w:asciiTheme="minorHAnsi" w:eastAsia="Arial" w:hAnsiTheme="minorHAnsi" w:cs="Arial"/>
          <w:bCs/>
          <w:color w:val="000000"/>
        </w:rPr>
        <w:t>71.232</w:t>
      </w:r>
      <w:r w:rsidRPr="0094217B">
        <w:rPr>
          <w:rFonts w:asciiTheme="minorHAnsi" w:eastAsia="Arial" w:hAnsiTheme="minorHAnsi" w:cs="Arial"/>
          <w:bCs/>
          <w:color w:val="000000"/>
        </w:rPr>
        <w:t xml:space="preserve"> Fälle von COVID-19-Erkrankungen als B</w:t>
      </w:r>
      <w:r w:rsidR="00C20165">
        <w:rPr>
          <w:rFonts w:asciiTheme="minorHAnsi" w:eastAsia="Arial" w:hAnsiTheme="minorHAnsi" w:cs="Arial"/>
          <w:bCs/>
          <w:color w:val="000000"/>
        </w:rPr>
        <w:t xml:space="preserve">erufskrankheit </w:t>
      </w:r>
      <w:r>
        <w:rPr>
          <w:rFonts w:asciiTheme="minorHAnsi" w:eastAsia="Arial" w:hAnsiTheme="minorHAnsi" w:cs="Arial"/>
          <w:bCs/>
          <w:color w:val="000000"/>
        </w:rPr>
        <w:t>anerkannt</w:t>
      </w:r>
    </w:p>
    <w:p w:rsidR="0094217B" w:rsidRDefault="00C20165" w:rsidP="0094217B">
      <w:pPr>
        <w:numPr>
          <w:ilvl w:val="1"/>
          <w:numId w:val="17"/>
        </w:numPr>
        <w:spacing w:after="0" w:line="240" w:lineRule="auto"/>
        <w:contextualSpacing/>
        <w:jc w:val="both"/>
        <w:rPr>
          <w:rFonts w:asciiTheme="minorHAnsi" w:eastAsia="Arial" w:hAnsiTheme="minorHAnsi" w:cs="Arial"/>
          <w:bCs/>
          <w:color w:val="000000"/>
        </w:rPr>
      </w:pPr>
      <w:r>
        <w:rPr>
          <w:rFonts w:asciiTheme="minorHAnsi" w:eastAsia="Arial" w:hAnsiTheme="minorHAnsi" w:cs="Arial"/>
          <w:bCs/>
          <w:color w:val="000000"/>
        </w:rPr>
        <w:t xml:space="preserve">entspricht </w:t>
      </w:r>
      <w:r w:rsidR="0094217B" w:rsidRPr="0094217B">
        <w:rPr>
          <w:rFonts w:asciiTheme="minorHAnsi" w:eastAsia="Arial" w:hAnsiTheme="minorHAnsi" w:cs="Arial"/>
          <w:bCs/>
          <w:color w:val="000000"/>
        </w:rPr>
        <w:t xml:space="preserve">Anerkennungsquote von </w:t>
      </w:r>
      <w:r w:rsidR="0094217B">
        <w:rPr>
          <w:rFonts w:asciiTheme="minorHAnsi" w:eastAsia="Arial" w:hAnsiTheme="minorHAnsi" w:cs="Arial"/>
          <w:bCs/>
          <w:color w:val="000000"/>
        </w:rPr>
        <w:t>59,52 %.</w:t>
      </w:r>
    </w:p>
    <w:p w:rsidR="0094217B" w:rsidRPr="00E02C54" w:rsidRDefault="00C20165" w:rsidP="0094217B">
      <w:pPr>
        <w:pStyle w:val="Listenabsatz"/>
        <w:numPr>
          <w:ilvl w:val="1"/>
          <w:numId w:val="17"/>
        </w:numPr>
        <w:spacing w:after="0" w:line="240" w:lineRule="auto"/>
        <w:jc w:val="both"/>
        <w:rPr>
          <w:rFonts w:asciiTheme="minorHAnsi" w:eastAsia="Arial" w:hAnsiTheme="minorHAnsi" w:cs="Arial"/>
          <w:color w:val="000000"/>
        </w:rPr>
      </w:pPr>
      <w:r>
        <w:rPr>
          <w:rFonts w:asciiTheme="minorHAnsi" w:eastAsia="Arial" w:hAnsiTheme="minorHAnsi" w:cs="Arial"/>
          <w:color w:val="000000"/>
        </w:rPr>
        <w:t>d</w:t>
      </w:r>
      <w:r w:rsidR="0094217B" w:rsidRPr="00E02C54">
        <w:rPr>
          <w:rFonts w:asciiTheme="minorHAnsi" w:eastAsia="Arial" w:hAnsiTheme="minorHAnsi" w:cs="Arial"/>
          <w:color w:val="000000"/>
        </w:rPr>
        <w:t xml:space="preserve">ie meisten Anzeigen wurden bei der </w:t>
      </w:r>
      <w:r w:rsidR="0094217B" w:rsidRPr="00FC6188">
        <w:rPr>
          <w:rFonts w:asciiTheme="minorHAnsi" w:eastAsia="Arial" w:hAnsiTheme="minorHAnsi" w:cs="Arial"/>
          <w:bCs/>
          <w:color w:val="000000"/>
        </w:rPr>
        <w:t>Berufsgenossenschaft für Gesundheitsdienst und Wohlfahrtspflege</w:t>
      </w:r>
      <w:r w:rsidR="0094217B" w:rsidRPr="00E02C54">
        <w:rPr>
          <w:rFonts w:asciiTheme="minorHAnsi" w:eastAsia="Arial" w:hAnsiTheme="minorHAnsi" w:cs="Arial"/>
          <w:color w:val="000000"/>
        </w:rPr>
        <w:t xml:space="preserve"> gestellt: </w:t>
      </w:r>
    </w:p>
    <w:p w:rsidR="0094217B" w:rsidRDefault="0094217B" w:rsidP="0094217B">
      <w:pPr>
        <w:pStyle w:val="Listenabsatz"/>
        <w:numPr>
          <w:ilvl w:val="2"/>
          <w:numId w:val="17"/>
        </w:numPr>
        <w:spacing w:after="0" w:line="240" w:lineRule="auto"/>
        <w:jc w:val="both"/>
        <w:rPr>
          <w:rFonts w:asciiTheme="minorHAnsi" w:eastAsia="Arial" w:hAnsiTheme="minorHAnsi" w:cs="Arial"/>
          <w:color w:val="000000"/>
        </w:rPr>
      </w:pPr>
      <w:r w:rsidRPr="00E02C54">
        <w:rPr>
          <w:rFonts w:asciiTheme="minorHAnsi" w:eastAsia="Arial" w:hAnsiTheme="minorHAnsi" w:cs="Arial"/>
          <w:bCs/>
          <w:color w:val="000000"/>
        </w:rPr>
        <w:t>83.398 Anzeigen</w:t>
      </w:r>
      <w:r w:rsidRPr="00E02C54">
        <w:rPr>
          <w:rFonts w:asciiTheme="minorHAnsi" w:eastAsia="Arial" w:hAnsiTheme="minorHAnsi" w:cs="Arial"/>
          <w:color w:val="000000"/>
        </w:rPr>
        <w:t xml:space="preserve">, von denen 52.748 anerkannt wurde (Anerkennungsquote bislang: </w:t>
      </w:r>
      <w:r w:rsidR="00E02C54">
        <w:rPr>
          <w:rFonts w:asciiTheme="minorHAnsi" w:eastAsia="Arial" w:hAnsiTheme="minorHAnsi" w:cs="Arial"/>
          <w:bCs/>
          <w:color w:val="000000"/>
        </w:rPr>
        <w:t>63,25</w:t>
      </w:r>
      <w:r w:rsidRPr="00E02C54">
        <w:rPr>
          <w:rFonts w:asciiTheme="minorHAnsi" w:eastAsia="Arial" w:hAnsiTheme="minorHAnsi" w:cs="Arial"/>
          <w:bCs/>
          <w:color w:val="000000"/>
        </w:rPr>
        <w:t xml:space="preserve"> Prozent</w:t>
      </w:r>
      <w:r w:rsidRPr="00E02C54">
        <w:rPr>
          <w:rFonts w:asciiTheme="minorHAnsi" w:eastAsia="Arial" w:hAnsiTheme="minorHAnsi" w:cs="Arial"/>
          <w:color w:val="000000"/>
        </w:rPr>
        <w:t>)</w:t>
      </w:r>
    </w:p>
    <w:p w:rsidR="00FC6188" w:rsidRDefault="00FC6188" w:rsidP="009D420F">
      <w:pPr>
        <w:pStyle w:val="Listenabsatz"/>
        <w:numPr>
          <w:ilvl w:val="1"/>
          <w:numId w:val="17"/>
        </w:numPr>
        <w:spacing w:after="0" w:line="240" w:lineRule="auto"/>
        <w:jc w:val="both"/>
        <w:rPr>
          <w:rFonts w:asciiTheme="minorHAnsi" w:eastAsia="Arial" w:hAnsiTheme="minorHAnsi" w:cs="Arial"/>
          <w:color w:val="000000"/>
        </w:rPr>
      </w:pPr>
      <w:r>
        <w:rPr>
          <w:rFonts w:asciiTheme="minorHAnsi" w:eastAsia="Arial" w:hAnsiTheme="minorHAnsi" w:cs="Arial"/>
          <w:color w:val="000000"/>
        </w:rPr>
        <w:t xml:space="preserve">Bei der SVLFG wurden zwei </w:t>
      </w:r>
      <w:r w:rsidR="009D420F">
        <w:rPr>
          <w:rFonts w:asciiTheme="minorHAnsi" w:eastAsia="Arial" w:hAnsiTheme="minorHAnsi" w:cs="Arial"/>
          <w:color w:val="000000"/>
        </w:rPr>
        <w:t>Anzeigen gestellt, beide wurden abgelehnt.</w:t>
      </w:r>
    </w:p>
    <w:p w:rsidR="0094217B" w:rsidRPr="0094217B" w:rsidRDefault="0094217B" w:rsidP="00D544B5">
      <w:pPr>
        <w:numPr>
          <w:ilvl w:val="0"/>
          <w:numId w:val="17"/>
        </w:numPr>
        <w:spacing w:after="0" w:line="240" w:lineRule="auto"/>
        <w:contextualSpacing/>
        <w:jc w:val="both"/>
        <w:rPr>
          <w:rFonts w:asciiTheme="minorHAnsi" w:eastAsia="Arial" w:hAnsiTheme="minorHAnsi" w:cs="Arial"/>
          <w:bCs/>
          <w:color w:val="000000"/>
        </w:rPr>
      </w:pPr>
      <w:r w:rsidRPr="0094217B">
        <w:rPr>
          <w:rFonts w:asciiTheme="minorHAnsi" w:eastAsia="Arial" w:hAnsiTheme="minorHAnsi" w:cs="Arial"/>
          <w:bCs/>
          <w:color w:val="000000"/>
        </w:rPr>
        <w:t xml:space="preserve">20.392 Fälle von </w:t>
      </w:r>
      <w:r w:rsidRPr="0094217B">
        <w:rPr>
          <w:rFonts w:asciiTheme="minorHAnsi" w:eastAsia="Arial" w:hAnsiTheme="minorHAnsi" w:cs="Arial"/>
          <w:b/>
          <w:bCs/>
          <w:color w:val="000000"/>
        </w:rPr>
        <w:t>COVID-19 als Arbeitsunfall</w:t>
      </w:r>
      <w:r w:rsidRPr="0094217B">
        <w:rPr>
          <w:rFonts w:asciiTheme="minorHAnsi" w:eastAsia="Arial" w:hAnsiTheme="minorHAnsi" w:cs="Arial"/>
          <w:bCs/>
          <w:color w:val="000000"/>
        </w:rPr>
        <w:t xml:space="preserve"> gemeldet</w:t>
      </w:r>
      <w:r w:rsidR="00D544B5">
        <w:rPr>
          <w:rFonts w:asciiTheme="minorHAnsi" w:eastAsia="Arial" w:hAnsiTheme="minorHAnsi" w:cs="Arial"/>
          <w:bCs/>
          <w:color w:val="000000"/>
        </w:rPr>
        <w:t xml:space="preserve">, bis zum 30. April 2021 </w:t>
      </w:r>
      <w:r w:rsidRPr="0094217B">
        <w:rPr>
          <w:rFonts w:asciiTheme="minorHAnsi" w:eastAsia="Arial" w:hAnsiTheme="minorHAnsi" w:cs="Arial"/>
          <w:bCs/>
          <w:color w:val="000000"/>
        </w:rPr>
        <w:t>(s. Frage 1 u. 2):</w:t>
      </w:r>
    </w:p>
    <w:p w:rsidR="0094217B" w:rsidRPr="0094217B" w:rsidRDefault="0094217B" w:rsidP="0094217B">
      <w:pPr>
        <w:numPr>
          <w:ilvl w:val="1"/>
          <w:numId w:val="17"/>
        </w:numPr>
        <w:spacing w:after="0" w:line="240" w:lineRule="auto"/>
        <w:contextualSpacing/>
        <w:jc w:val="both"/>
        <w:rPr>
          <w:rFonts w:asciiTheme="minorHAnsi" w:eastAsia="Arial" w:hAnsiTheme="minorHAnsi" w:cs="Arial"/>
          <w:bCs/>
          <w:color w:val="000000"/>
        </w:rPr>
      </w:pPr>
      <w:r w:rsidRPr="0094217B">
        <w:rPr>
          <w:rFonts w:asciiTheme="minorHAnsi" w:eastAsia="Arial" w:hAnsiTheme="minorHAnsi" w:cs="Arial"/>
          <w:bCs/>
          <w:color w:val="000000"/>
        </w:rPr>
        <w:t>6.107 Fälle von COVID-19-Erkrankungen als Arbeitsunfall anerkannt</w:t>
      </w:r>
    </w:p>
    <w:p w:rsidR="00FC6188" w:rsidRDefault="0094217B" w:rsidP="00FC6188">
      <w:pPr>
        <w:numPr>
          <w:ilvl w:val="1"/>
          <w:numId w:val="17"/>
        </w:numPr>
        <w:contextualSpacing/>
        <w:rPr>
          <w:rFonts w:asciiTheme="minorHAnsi" w:eastAsia="Arial" w:hAnsiTheme="minorHAnsi" w:cs="Arial"/>
          <w:bCs/>
          <w:color w:val="000000"/>
        </w:rPr>
      </w:pPr>
      <w:r w:rsidRPr="0094217B">
        <w:rPr>
          <w:rFonts w:asciiTheme="minorHAnsi" w:eastAsia="Arial" w:hAnsiTheme="minorHAnsi" w:cs="Arial"/>
          <w:bCs/>
          <w:color w:val="000000"/>
        </w:rPr>
        <w:t xml:space="preserve">entspricht Anerkennungsquote von </w:t>
      </w:r>
      <w:r>
        <w:rPr>
          <w:rFonts w:asciiTheme="minorHAnsi" w:eastAsia="Arial" w:hAnsiTheme="minorHAnsi" w:cs="Arial"/>
          <w:bCs/>
          <w:color w:val="000000"/>
        </w:rPr>
        <w:t xml:space="preserve">29,95 </w:t>
      </w:r>
      <w:r w:rsidR="009D420F">
        <w:rPr>
          <w:rFonts w:asciiTheme="minorHAnsi" w:eastAsia="Arial" w:hAnsiTheme="minorHAnsi" w:cs="Arial"/>
          <w:bCs/>
          <w:color w:val="000000"/>
        </w:rPr>
        <w:t>%</w:t>
      </w:r>
    </w:p>
    <w:p w:rsidR="00FC6188" w:rsidRDefault="00C20165" w:rsidP="00FC6188">
      <w:pPr>
        <w:numPr>
          <w:ilvl w:val="1"/>
          <w:numId w:val="17"/>
        </w:numPr>
        <w:contextualSpacing/>
        <w:rPr>
          <w:rFonts w:asciiTheme="minorHAnsi" w:eastAsia="Arial" w:hAnsiTheme="minorHAnsi" w:cs="Arial"/>
          <w:bCs/>
          <w:color w:val="000000"/>
        </w:rPr>
      </w:pPr>
      <w:r w:rsidRPr="00FC6188">
        <w:rPr>
          <w:rFonts w:asciiTheme="minorHAnsi" w:eastAsia="Arial" w:hAnsiTheme="minorHAnsi" w:cs="Arial"/>
          <w:bCs/>
          <w:color w:val="000000"/>
        </w:rPr>
        <w:t>d</w:t>
      </w:r>
      <w:r w:rsidR="00E02C54" w:rsidRPr="00FC6188">
        <w:rPr>
          <w:rFonts w:asciiTheme="minorHAnsi" w:eastAsia="Arial" w:hAnsiTheme="minorHAnsi" w:cs="Arial"/>
          <w:bCs/>
          <w:color w:val="000000"/>
        </w:rPr>
        <w:t>ie meisten wurden bei den Unfallversicherungsträgern der öffentlichen Hand und der BG Nahrungsmittel und Gastgewerbe gemeldet:</w:t>
      </w:r>
    </w:p>
    <w:p w:rsidR="00FC6188" w:rsidRDefault="00E02C54" w:rsidP="00FC6188">
      <w:pPr>
        <w:numPr>
          <w:ilvl w:val="2"/>
          <w:numId w:val="17"/>
        </w:numPr>
        <w:contextualSpacing/>
        <w:rPr>
          <w:rFonts w:asciiTheme="minorHAnsi" w:eastAsia="Arial" w:hAnsiTheme="minorHAnsi" w:cs="Arial"/>
          <w:bCs/>
          <w:color w:val="000000"/>
        </w:rPr>
      </w:pPr>
      <w:r w:rsidRPr="00FC6188">
        <w:rPr>
          <w:rFonts w:asciiTheme="minorHAnsi" w:eastAsia="Arial" w:hAnsiTheme="minorHAnsi" w:cs="Arial"/>
          <w:bCs/>
          <w:color w:val="000000"/>
        </w:rPr>
        <w:t>Unfallkassen: 4.902 von 10.832 anerkannt = Quote: 45,25 %</w:t>
      </w:r>
    </w:p>
    <w:p w:rsidR="00E02C54" w:rsidRDefault="00E02C54" w:rsidP="00FC6188">
      <w:pPr>
        <w:numPr>
          <w:ilvl w:val="2"/>
          <w:numId w:val="17"/>
        </w:numPr>
        <w:contextualSpacing/>
        <w:rPr>
          <w:rFonts w:asciiTheme="minorHAnsi" w:eastAsia="Arial" w:hAnsiTheme="minorHAnsi" w:cs="Arial"/>
          <w:bCs/>
          <w:color w:val="000000"/>
        </w:rPr>
      </w:pPr>
      <w:r w:rsidRPr="00FC6188">
        <w:rPr>
          <w:rFonts w:asciiTheme="minorHAnsi" w:eastAsia="Arial" w:hAnsiTheme="minorHAnsi" w:cs="Arial"/>
          <w:bCs/>
          <w:color w:val="000000"/>
        </w:rPr>
        <w:t>BGN: 705 von 5.004 anerkannt = Quote: 14,09 %</w:t>
      </w:r>
    </w:p>
    <w:p w:rsidR="009D420F" w:rsidRDefault="009D420F" w:rsidP="009D420F">
      <w:pPr>
        <w:numPr>
          <w:ilvl w:val="1"/>
          <w:numId w:val="17"/>
        </w:numPr>
        <w:contextualSpacing/>
        <w:rPr>
          <w:rFonts w:asciiTheme="minorHAnsi" w:eastAsia="Arial" w:hAnsiTheme="minorHAnsi" w:cs="Arial"/>
          <w:bCs/>
          <w:color w:val="000000"/>
        </w:rPr>
      </w:pPr>
      <w:r w:rsidRPr="009D420F">
        <w:rPr>
          <w:rFonts w:asciiTheme="minorHAnsi" w:eastAsia="Arial" w:hAnsiTheme="minorHAnsi" w:cs="Arial"/>
          <w:bCs/>
          <w:color w:val="000000"/>
        </w:rPr>
        <w:t>Bei der SVL</w:t>
      </w:r>
      <w:r>
        <w:rPr>
          <w:rFonts w:asciiTheme="minorHAnsi" w:eastAsia="Arial" w:hAnsiTheme="minorHAnsi" w:cs="Arial"/>
          <w:bCs/>
          <w:color w:val="000000"/>
        </w:rPr>
        <w:t>FG wurden 32 Arbeitsunfälle gemeldet, bislang wurde keiner anerkannt</w:t>
      </w:r>
      <w:r w:rsidRPr="009D420F">
        <w:rPr>
          <w:rFonts w:asciiTheme="minorHAnsi" w:eastAsia="Arial" w:hAnsiTheme="minorHAnsi" w:cs="Arial"/>
          <w:bCs/>
          <w:color w:val="000000"/>
        </w:rPr>
        <w:t>.</w:t>
      </w:r>
    </w:p>
    <w:p w:rsidR="009D420F" w:rsidRDefault="00E92AEE" w:rsidP="009D420F">
      <w:pPr>
        <w:numPr>
          <w:ilvl w:val="0"/>
          <w:numId w:val="17"/>
        </w:numPr>
        <w:spacing w:after="0" w:line="240" w:lineRule="auto"/>
        <w:contextualSpacing/>
        <w:jc w:val="both"/>
        <w:rPr>
          <w:rFonts w:asciiTheme="minorHAnsi" w:eastAsia="Arial" w:hAnsiTheme="minorHAnsi" w:cs="Arial"/>
          <w:bCs/>
          <w:color w:val="000000"/>
        </w:rPr>
      </w:pPr>
      <w:r w:rsidRPr="00E92AEE">
        <w:rPr>
          <w:rFonts w:asciiTheme="minorHAnsi" w:eastAsia="Arial" w:hAnsiTheme="minorHAnsi" w:cs="Arial"/>
          <w:b/>
          <w:bCs/>
          <w:color w:val="000000"/>
        </w:rPr>
        <w:t>Etwaige Langzeitfolgen</w:t>
      </w:r>
      <w:r>
        <w:rPr>
          <w:rFonts w:asciiTheme="minorHAnsi" w:eastAsia="Arial" w:hAnsiTheme="minorHAnsi" w:cs="Arial"/>
          <w:bCs/>
          <w:color w:val="000000"/>
        </w:rPr>
        <w:t xml:space="preserve"> werden, s</w:t>
      </w:r>
      <w:r w:rsidR="009D420F" w:rsidRPr="009D420F">
        <w:rPr>
          <w:rFonts w:asciiTheme="minorHAnsi" w:eastAsia="Arial" w:hAnsiTheme="minorHAnsi" w:cs="Arial"/>
          <w:bCs/>
          <w:color w:val="000000"/>
        </w:rPr>
        <w:t>ofern ein Versicherungsfall anerkannt wurde, soweit</w:t>
      </w:r>
      <w:r w:rsidR="009D420F">
        <w:rPr>
          <w:rFonts w:asciiTheme="minorHAnsi" w:eastAsia="Arial" w:hAnsiTheme="minorHAnsi" w:cs="Arial"/>
          <w:bCs/>
          <w:color w:val="000000"/>
        </w:rPr>
        <w:t xml:space="preserve"> </w:t>
      </w:r>
      <w:r w:rsidR="009D420F" w:rsidRPr="009D420F">
        <w:rPr>
          <w:rFonts w:asciiTheme="minorHAnsi" w:eastAsia="Arial" w:hAnsiTheme="minorHAnsi" w:cs="Arial"/>
          <w:bCs/>
          <w:color w:val="000000"/>
        </w:rPr>
        <w:t>diese nach den Erkenntnissen der medizinischen Wissenschaft in einem ursächlichen Zusammenhang mit dem Versicherungsfall stehen, von den Trägern der gesetzlichen Unfallversicherung entschädigt. Eine gesonderte Antragstellung ist nicht erforderlich, da Leistungen der gesetzlichen Unfallversicherung</w:t>
      </w:r>
      <w:r w:rsidR="009D420F">
        <w:rPr>
          <w:rFonts w:asciiTheme="minorHAnsi" w:eastAsia="Arial" w:hAnsiTheme="minorHAnsi" w:cs="Arial"/>
          <w:bCs/>
          <w:color w:val="000000"/>
        </w:rPr>
        <w:t xml:space="preserve"> von Amts wegen erbracht werden (s. Frage 3):</w:t>
      </w:r>
    </w:p>
    <w:p w:rsidR="009D420F" w:rsidRDefault="00DD50D3" w:rsidP="009D420F">
      <w:pPr>
        <w:numPr>
          <w:ilvl w:val="1"/>
          <w:numId w:val="17"/>
        </w:numPr>
        <w:contextualSpacing/>
        <w:rPr>
          <w:rFonts w:asciiTheme="minorHAnsi" w:eastAsia="Arial" w:hAnsiTheme="minorHAnsi" w:cs="Arial"/>
          <w:bCs/>
          <w:color w:val="000000"/>
        </w:rPr>
      </w:pPr>
      <w:r>
        <w:rPr>
          <w:rFonts w:asciiTheme="minorHAnsi" w:eastAsia="Arial" w:hAnsiTheme="minorHAnsi" w:cs="Arial"/>
          <w:bCs/>
          <w:color w:val="000000"/>
        </w:rPr>
        <w:t xml:space="preserve">zur Anzahl </w:t>
      </w:r>
      <w:r w:rsidR="009D420F">
        <w:rPr>
          <w:rFonts w:asciiTheme="minorHAnsi" w:eastAsia="Arial" w:hAnsiTheme="minorHAnsi" w:cs="Arial"/>
          <w:bCs/>
          <w:color w:val="000000"/>
        </w:rPr>
        <w:t>anerk</w:t>
      </w:r>
      <w:r>
        <w:rPr>
          <w:rFonts w:asciiTheme="minorHAnsi" w:eastAsia="Arial" w:hAnsiTheme="minorHAnsi" w:cs="Arial"/>
          <w:bCs/>
          <w:color w:val="000000"/>
        </w:rPr>
        <w:t>annter</w:t>
      </w:r>
      <w:r w:rsidR="009D420F">
        <w:rPr>
          <w:rFonts w:asciiTheme="minorHAnsi" w:eastAsia="Arial" w:hAnsiTheme="minorHAnsi" w:cs="Arial"/>
          <w:bCs/>
          <w:color w:val="000000"/>
        </w:rPr>
        <w:t xml:space="preserve"> Fällen von </w:t>
      </w:r>
      <w:r w:rsidR="009D420F" w:rsidRPr="009D420F">
        <w:rPr>
          <w:rFonts w:asciiTheme="minorHAnsi" w:eastAsia="Arial" w:hAnsiTheme="minorHAnsi" w:cs="Arial"/>
          <w:bCs/>
          <w:color w:val="000000"/>
        </w:rPr>
        <w:t>Long-</w:t>
      </w:r>
      <w:proofErr w:type="spellStart"/>
      <w:r w:rsidR="009D420F" w:rsidRPr="009D420F">
        <w:rPr>
          <w:rFonts w:asciiTheme="minorHAnsi" w:eastAsia="Arial" w:hAnsiTheme="minorHAnsi" w:cs="Arial"/>
          <w:bCs/>
          <w:color w:val="000000"/>
        </w:rPr>
        <w:t>Covid</w:t>
      </w:r>
      <w:proofErr w:type="spellEnd"/>
      <w:r w:rsidR="009D420F" w:rsidRPr="009D420F">
        <w:rPr>
          <w:rFonts w:asciiTheme="minorHAnsi" w:eastAsia="Arial" w:hAnsiTheme="minorHAnsi" w:cs="Arial"/>
          <w:bCs/>
          <w:color w:val="000000"/>
        </w:rPr>
        <w:t xml:space="preserve"> oder Post-</w:t>
      </w:r>
      <w:proofErr w:type="spellStart"/>
      <w:r w:rsidR="009D420F" w:rsidRPr="009D420F">
        <w:rPr>
          <w:rFonts w:asciiTheme="minorHAnsi" w:eastAsia="Arial" w:hAnsiTheme="minorHAnsi" w:cs="Arial"/>
          <w:bCs/>
          <w:color w:val="000000"/>
        </w:rPr>
        <w:t>Covid</w:t>
      </w:r>
      <w:proofErr w:type="spellEnd"/>
      <w:r w:rsidR="009D420F">
        <w:rPr>
          <w:rFonts w:asciiTheme="minorHAnsi" w:eastAsia="Arial" w:hAnsiTheme="minorHAnsi" w:cs="Arial"/>
          <w:bCs/>
          <w:color w:val="000000"/>
        </w:rPr>
        <w:t xml:space="preserve"> liegen keine Daten vor</w:t>
      </w:r>
    </w:p>
    <w:p w:rsidR="009D420F" w:rsidRDefault="009D420F" w:rsidP="009D420F">
      <w:pPr>
        <w:numPr>
          <w:ilvl w:val="1"/>
          <w:numId w:val="17"/>
        </w:numPr>
        <w:contextualSpacing/>
        <w:rPr>
          <w:rFonts w:asciiTheme="minorHAnsi" w:eastAsia="Arial" w:hAnsiTheme="minorHAnsi" w:cs="Arial"/>
          <w:bCs/>
          <w:color w:val="000000"/>
        </w:rPr>
      </w:pPr>
      <w:r>
        <w:rPr>
          <w:rFonts w:asciiTheme="minorHAnsi" w:eastAsia="Arial" w:hAnsiTheme="minorHAnsi" w:cs="Arial"/>
          <w:bCs/>
          <w:color w:val="000000"/>
        </w:rPr>
        <w:t xml:space="preserve">Gefragt wurde, inwiefern </w:t>
      </w:r>
      <w:r w:rsidRPr="009D420F">
        <w:rPr>
          <w:rFonts w:asciiTheme="minorHAnsi" w:eastAsia="Arial" w:hAnsiTheme="minorHAnsi" w:cs="Arial"/>
          <w:bCs/>
          <w:color w:val="000000"/>
        </w:rPr>
        <w:t>auch die Langzeitfolgen arbeitsbezogener</w:t>
      </w:r>
      <w:r>
        <w:rPr>
          <w:rFonts w:asciiTheme="minorHAnsi" w:eastAsia="Arial" w:hAnsiTheme="minorHAnsi" w:cs="Arial"/>
          <w:bCs/>
          <w:color w:val="000000"/>
        </w:rPr>
        <w:t xml:space="preserve"> </w:t>
      </w:r>
      <w:r w:rsidRPr="009D420F">
        <w:rPr>
          <w:rFonts w:asciiTheme="minorHAnsi" w:eastAsia="Arial" w:hAnsiTheme="minorHAnsi" w:cs="Arial"/>
          <w:bCs/>
          <w:color w:val="000000"/>
        </w:rPr>
        <w:t xml:space="preserve">Covid-19-Erkrankungen („Long </w:t>
      </w:r>
      <w:proofErr w:type="spellStart"/>
      <w:r w:rsidRPr="009D420F">
        <w:rPr>
          <w:rFonts w:asciiTheme="minorHAnsi" w:eastAsia="Arial" w:hAnsiTheme="minorHAnsi" w:cs="Arial"/>
          <w:bCs/>
          <w:color w:val="000000"/>
        </w:rPr>
        <w:t>Covid</w:t>
      </w:r>
      <w:proofErr w:type="spellEnd"/>
      <w:r w:rsidRPr="009D420F">
        <w:rPr>
          <w:rFonts w:asciiTheme="minorHAnsi" w:eastAsia="Arial" w:hAnsiTheme="minorHAnsi" w:cs="Arial"/>
          <w:bCs/>
          <w:color w:val="000000"/>
        </w:rPr>
        <w:t xml:space="preserve">“ oder „Post </w:t>
      </w:r>
      <w:proofErr w:type="spellStart"/>
      <w:r w:rsidRPr="009D420F">
        <w:rPr>
          <w:rFonts w:asciiTheme="minorHAnsi" w:eastAsia="Arial" w:hAnsiTheme="minorHAnsi" w:cs="Arial"/>
          <w:bCs/>
          <w:color w:val="000000"/>
        </w:rPr>
        <w:t>Covid</w:t>
      </w:r>
      <w:proofErr w:type="spellEnd"/>
      <w:r w:rsidRPr="009D420F">
        <w:rPr>
          <w:rFonts w:asciiTheme="minorHAnsi" w:eastAsia="Arial" w:hAnsiTheme="minorHAnsi" w:cs="Arial"/>
          <w:bCs/>
          <w:color w:val="000000"/>
        </w:rPr>
        <w:t>“) von der gesetzlichen Unfallversicherung</w:t>
      </w:r>
      <w:r>
        <w:rPr>
          <w:rFonts w:asciiTheme="minorHAnsi" w:eastAsia="Arial" w:hAnsiTheme="minorHAnsi" w:cs="Arial"/>
          <w:bCs/>
          <w:color w:val="000000"/>
        </w:rPr>
        <w:t xml:space="preserve"> anerkannt und entschädigt werden.</w:t>
      </w:r>
    </w:p>
    <w:p w:rsidR="00AA6C7C" w:rsidRDefault="00AA6C7C" w:rsidP="00AA6C7C">
      <w:pPr>
        <w:numPr>
          <w:ilvl w:val="0"/>
          <w:numId w:val="17"/>
        </w:numPr>
        <w:spacing w:after="0" w:line="240" w:lineRule="auto"/>
        <w:contextualSpacing/>
        <w:jc w:val="both"/>
        <w:rPr>
          <w:rFonts w:asciiTheme="minorHAnsi" w:eastAsia="Arial" w:hAnsiTheme="minorHAnsi" w:cs="Arial"/>
          <w:bCs/>
          <w:color w:val="000000"/>
        </w:rPr>
      </w:pPr>
      <w:r w:rsidRPr="00E92AEE">
        <w:rPr>
          <w:rFonts w:asciiTheme="minorHAnsi" w:eastAsia="Arial" w:hAnsiTheme="minorHAnsi" w:cs="Arial"/>
          <w:b/>
          <w:bCs/>
          <w:color w:val="000000"/>
        </w:rPr>
        <w:t>Zur Höhe der Entschädigungsleistungen der Unfallversicherungsträger</w:t>
      </w:r>
      <w:r w:rsidRPr="00AA6C7C">
        <w:rPr>
          <w:rFonts w:asciiTheme="minorHAnsi" w:eastAsia="Arial" w:hAnsiTheme="minorHAnsi" w:cs="Arial"/>
          <w:bCs/>
          <w:color w:val="000000"/>
        </w:rPr>
        <w:t xml:space="preserve"> aufgrund einer durch SARS-CoV-2 verursachten Erkrankung</w:t>
      </w:r>
      <w:r>
        <w:rPr>
          <w:rFonts w:asciiTheme="minorHAnsi" w:eastAsia="Arial" w:hAnsiTheme="minorHAnsi" w:cs="Arial"/>
          <w:bCs/>
          <w:color w:val="000000"/>
        </w:rPr>
        <w:t xml:space="preserve"> </w:t>
      </w:r>
      <w:r w:rsidRPr="00AA6C7C">
        <w:rPr>
          <w:rFonts w:asciiTheme="minorHAnsi" w:eastAsia="Arial" w:hAnsiTheme="minorHAnsi" w:cs="Arial"/>
          <w:bCs/>
          <w:color w:val="000000"/>
        </w:rPr>
        <w:t>(„Corona“) als Beru</w:t>
      </w:r>
      <w:r>
        <w:rPr>
          <w:rFonts w:asciiTheme="minorHAnsi" w:eastAsia="Arial" w:hAnsiTheme="minorHAnsi" w:cs="Arial"/>
          <w:bCs/>
          <w:color w:val="000000"/>
        </w:rPr>
        <w:t xml:space="preserve">fskrankheit oder Arbeitsunfall liegen keine Daten vor (s. Frage </w:t>
      </w:r>
      <w:proofErr w:type="gramStart"/>
      <w:r>
        <w:rPr>
          <w:rFonts w:asciiTheme="minorHAnsi" w:eastAsia="Arial" w:hAnsiTheme="minorHAnsi" w:cs="Arial"/>
          <w:bCs/>
          <w:color w:val="000000"/>
        </w:rPr>
        <w:t>4 )</w:t>
      </w:r>
      <w:proofErr w:type="gramEnd"/>
      <w:r>
        <w:rPr>
          <w:rFonts w:asciiTheme="minorHAnsi" w:eastAsia="Arial" w:hAnsiTheme="minorHAnsi" w:cs="Arial"/>
          <w:bCs/>
          <w:color w:val="000000"/>
        </w:rPr>
        <w:t>.</w:t>
      </w:r>
    </w:p>
    <w:p w:rsidR="00AA6C7C" w:rsidRDefault="00AA6C7C" w:rsidP="00AA6C7C">
      <w:pPr>
        <w:numPr>
          <w:ilvl w:val="0"/>
          <w:numId w:val="17"/>
        </w:numPr>
        <w:spacing w:after="0" w:line="240" w:lineRule="auto"/>
        <w:contextualSpacing/>
        <w:jc w:val="both"/>
        <w:rPr>
          <w:rFonts w:asciiTheme="minorHAnsi" w:eastAsia="Arial" w:hAnsiTheme="minorHAnsi" w:cs="Arial"/>
          <w:bCs/>
          <w:color w:val="000000"/>
        </w:rPr>
      </w:pPr>
      <w:r w:rsidRPr="00AA6C7C">
        <w:rPr>
          <w:rFonts w:asciiTheme="minorHAnsi" w:eastAsia="Arial" w:hAnsiTheme="minorHAnsi" w:cs="Arial"/>
          <w:b/>
          <w:bCs/>
          <w:color w:val="000000"/>
        </w:rPr>
        <w:t>Andere, als die in der BK Nr. 3101 genannten Tätigkeiten</w:t>
      </w:r>
      <w:r w:rsidRPr="00AA6C7C">
        <w:rPr>
          <w:rFonts w:asciiTheme="minorHAnsi" w:eastAsia="Arial" w:hAnsiTheme="minorHAnsi" w:cs="Arial"/>
          <w:bCs/>
          <w:color w:val="000000"/>
        </w:rPr>
        <w:t xml:space="preserve"> (Gesundheitsdienst, Wohlfahrtspflege oder in einem Laboratorium)</w:t>
      </w:r>
      <w:r>
        <w:rPr>
          <w:rFonts w:asciiTheme="minorHAnsi" w:eastAsia="Arial" w:hAnsiTheme="minorHAnsi" w:cs="Arial"/>
          <w:bCs/>
          <w:color w:val="000000"/>
        </w:rPr>
        <w:t>, lassen sich zum jetzigen Zeitpunkt nicht</w:t>
      </w:r>
      <w:r w:rsidRPr="00AA6C7C">
        <w:rPr>
          <w:rFonts w:asciiTheme="minorHAnsi" w:eastAsia="Arial" w:hAnsiTheme="minorHAnsi" w:cs="Arial"/>
          <w:bCs/>
          <w:color w:val="000000"/>
        </w:rPr>
        <w:t xml:space="preserve"> identifizieren, für</w:t>
      </w:r>
      <w:r>
        <w:rPr>
          <w:rFonts w:asciiTheme="minorHAnsi" w:eastAsia="Arial" w:hAnsiTheme="minorHAnsi" w:cs="Arial"/>
          <w:bCs/>
          <w:color w:val="000000"/>
        </w:rPr>
        <w:t xml:space="preserve"> </w:t>
      </w:r>
      <w:r w:rsidRPr="00AA6C7C">
        <w:rPr>
          <w:rFonts w:asciiTheme="minorHAnsi" w:eastAsia="Arial" w:hAnsiTheme="minorHAnsi" w:cs="Arial"/>
          <w:bCs/>
          <w:color w:val="000000"/>
        </w:rPr>
        <w:t xml:space="preserve">die </w:t>
      </w:r>
      <w:r>
        <w:rPr>
          <w:rFonts w:asciiTheme="minorHAnsi" w:eastAsia="Arial" w:hAnsiTheme="minorHAnsi" w:cs="Arial"/>
          <w:bCs/>
          <w:color w:val="000000"/>
        </w:rPr>
        <w:t xml:space="preserve">(…) </w:t>
      </w:r>
      <w:r w:rsidRPr="00AA6C7C">
        <w:rPr>
          <w:rFonts w:asciiTheme="minorHAnsi" w:eastAsia="Arial" w:hAnsiTheme="minorHAnsi" w:cs="Arial"/>
          <w:bCs/>
          <w:color w:val="000000"/>
        </w:rPr>
        <w:t>ein vergleichbar hohes COVID-19-Erkrankungsrisiko</w:t>
      </w:r>
      <w:r>
        <w:rPr>
          <w:rFonts w:asciiTheme="minorHAnsi" w:eastAsia="Arial" w:hAnsiTheme="minorHAnsi" w:cs="Arial"/>
          <w:bCs/>
          <w:color w:val="000000"/>
        </w:rPr>
        <w:t xml:space="preserve"> gezeigt hat (s. Frage 5):</w:t>
      </w:r>
    </w:p>
    <w:p w:rsidR="00AA6C7C" w:rsidRDefault="00AA6C7C" w:rsidP="00AA6C7C">
      <w:pPr>
        <w:numPr>
          <w:ilvl w:val="1"/>
          <w:numId w:val="17"/>
        </w:numPr>
        <w:spacing w:after="0" w:line="240" w:lineRule="auto"/>
        <w:contextualSpacing/>
        <w:jc w:val="both"/>
        <w:rPr>
          <w:rFonts w:asciiTheme="minorHAnsi" w:eastAsia="Arial" w:hAnsiTheme="minorHAnsi" w:cs="Arial"/>
          <w:bCs/>
          <w:color w:val="000000"/>
        </w:rPr>
      </w:pPr>
      <w:r w:rsidRPr="00AA6C7C">
        <w:rPr>
          <w:rFonts w:asciiTheme="minorHAnsi" w:eastAsia="Arial" w:hAnsiTheme="minorHAnsi" w:cs="Arial"/>
          <w:bCs/>
          <w:color w:val="000000"/>
        </w:rPr>
        <w:t>Da Erzieherinnen und Erzieher einen Beruf der Wohlfahrtspflege ausüben, kommt für sie</w:t>
      </w:r>
      <w:r>
        <w:rPr>
          <w:rFonts w:asciiTheme="minorHAnsi" w:eastAsia="Arial" w:hAnsiTheme="minorHAnsi" w:cs="Arial"/>
          <w:bCs/>
          <w:color w:val="000000"/>
        </w:rPr>
        <w:t xml:space="preserve"> </w:t>
      </w:r>
      <w:r w:rsidRPr="00AA6C7C">
        <w:rPr>
          <w:rFonts w:asciiTheme="minorHAnsi" w:eastAsia="Arial" w:hAnsiTheme="minorHAnsi" w:cs="Arial"/>
          <w:bCs/>
          <w:color w:val="000000"/>
        </w:rPr>
        <w:t>eine Anerkennung der Erkrankung als Berufskrankheit (BK Nr. 3101) in Betracht, sofern sie</w:t>
      </w:r>
      <w:r>
        <w:rPr>
          <w:rFonts w:asciiTheme="minorHAnsi" w:eastAsia="Arial" w:hAnsiTheme="minorHAnsi" w:cs="Arial"/>
          <w:bCs/>
          <w:color w:val="000000"/>
        </w:rPr>
        <w:t xml:space="preserve"> </w:t>
      </w:r>
      <w:r w:rsidRPr="00AA6C7C">
        <w:rPr>
          <w:rFonts w:asciiTheme="minorHAnsi" w:eastAsia="Arial" w:hAnsiTheme="minorHAnsi" w:cs="Arial"/>
          <w:bCs/>
          <w:color w:val="000000"/>
        </w:rPr>
        <w:t>sich bei der Arbeit infiziert haben.</w:t>
      </w:r>
    </w:p>
    <w:p w:rsidR="00AA6C7C" w:rsidRDefault="00AA6C7C" w:rsidP="00AA6C7C">
      <w:pPr>
        <w:numPr>
          <w:ilvl w:val="0"/>
          <w:numId w:val="17"/>
        </w:numPr>
        <w:spacing w:after="0" w:line="240" w:lineRule="auto"/>
        <w:contextualSpacing/>
        <w:jc w:val="both"/>
        <w:rPr>
          <w:rFonts w:asciiTheme="minorHAnsi" w:eastAsia="Arial" w:hAnsiTheme="minorHAnsi" w:cs="Arial"/>
          <w:bCs/>
          <w:color w:val="000000"/>
        </w:rPr>
      </w:pPr>
      <w:r w:rsidRPr="00AA6C7C">
        <w:rPr>
          <w:rFonts w:asciiTheme="minorHAnsi" w:eastAsia="Arial" w:hAnsiTheme="minorHAnsi" w:cs="Arial"/>
          <w:b/>
          <w:bCs/>
          <w:color w:val="000000"/>
        </w:rPr>
        <w:t xml:space="preserve">Die BK Nr. 3101 </w:t>
      </w:r>
      <w:r w:rsidRPr="00AA6C7C">
        <w:rPr>
          <w:rFonts w:asciiTheme="minorHAnsi" w:eastAsia="Arial" w:hAnsiTheme="minorHAnsi" w:cs="Arial"/>
          <w:bCs/>
          <w:color w:val="000000"/>
        </w:rPr>
        <w:t>bezieht sich unabhängig von einzelnen Erregern insgesamt auf Infektionskrankheiten und umfasst damit bereits die Erkrankung durch Sars-CoV-2 (Covid-19). Eine</w:t>
      </w:r>
      <w:r>
        <w:rPr>
          <w:rFonts w:asciiTheme="minorHAnsi" w:eastAsia="Arial" w:hAnsiTheme="minorHAnsi" w:cs="Arial"/>
          <w:bCs/>
          <w:color w:val="000000"/>
        </w:rPr>
        <w:t xml:space="preserve"> </w:t>
      </w:r>
      <w:r w:rsidRPr="00AA6C7C">
        <w:rPr>
          <w:rFonts w:asciiTheme="minorHAnsi" w:eastAsia="Arial" w:hAnsiTheme="minorHAnsi" w:cs="Arial"/>
          <w:bCs/>
          <w:color w:val="000000"/>
        </w:rPr>
        <w:t>Erweiterung der Berufskrankheit um Covid-19 ist deshalb nicht erforderlich. Der BK</w:t>
      </w:r>
      <w:r>
        <w:rPr>
          <w:rFonts w:asciiTheme="minorHAnsi" w:eastAsia="Arial" w:hAnsiTheme="minorHAnsi" w:cs="Arial"/>
          <w:bCs/>
          <w:color w:val="000000"/>
        </w:rPr>
        <w:t xml:space="preserve"> </w:t>
      </w:r>
      <w:r w:rsidRPr="00AA6C7C">
        <w:rPr>
          <w:rFonts w:asciiTheme="minorHAnsi" w:eastAsia="Arial" w:hAnsiTheme="minorHAnsi" w:cs="Arial"/>
          <w:bCs/>
          <w:color w:val="000000"/>
        </w:rPr>
        <w:t>Nr. 3101 liegt die auf alle Infektionskrankheiten zutreffende Erkenntnis zugrunde, dass der</w:t>
      </w:r>
      <w:r>
        <w:rPr>
          <w:rFonts w:asciiTheme="minorHAnsi" w:eastAsia="Arial" w:hAnsiTheme="minorHAnsi" w:cs="Arial"/>
          <w:bCs/>
          <w:color w:val="000000"/>
        </w:rPr>
        <w:t xml:space="preserve"> </w:t>
      </w:r>
      <w:r w:rsidRPr="00AA6C7C">
        <w:rPr>
          <w:rFonts w:asciiTheme="minorHAnsi" w:eastAsia="Arial" w:hAnsiTheme="minorHAnsi" w:cs="Arial"/>
          <w:bCs/>
          <w:color w:val="000000"/>
        </w:rPr>
        <w:t>berufsbedingte Kontakt mit Erregern insbesondere bei Tätigkeiten im Gesundheitsdienst,</w:t>
      </w:r>
      <w:r>
        <w:rPr>
          <w:rFonts w:asciiTheme="minorHAnsi" w:eastAsia="Arial" w:hAnsiTheme="minorHAnsi" w:cs="Arial"/>
          <w:bCs/>
          <w:color w:val="000000"/>
        </w:rPr>
        <w:t xml:space="preserve"> </w:t>
      </w:r>
      <w:r w:rsidRPr="00AA6C7C">
        <w:rPr>
          <w:rFonts w:asciiTheme="minorHAnsi" w:eastAsia="Arial" w:hAnsiTheme="minorHAnsi" w:cs="Arial"/>
          <w:bCs/>
          <w:color w:val="000000"/>
        </w:rPr>
        <w:t>in der Wohlfahrtspflege oder in</w:t>
      </w:r>
      <w:r>
        <w:rPr>
          <w:rFonts w:asciiTheme="minorHAnsi" w:eastAsia="Arial" w:hAnsiTheme="minorHAnsi" w:cs="Arial"/>
          <w:bCs/>
          <w:color w:val="000000"/>
        </w:rPr>
        <w:t xml:space="preserve"> einem Laboratorium stattfindet (s. Frage 6)</w:t>
      </w:r>
    </w:p>
    <w:p w:rsidR="00AA6C7C" w:rsidRDefault="00AA6C7C" w:rsidP="00AA6C7C">
      <w:pPr>
        <w:numPr>
          <w:ilvl w:val="1"/>
          <w:numId w:val="17"/>
        </w:numPr>
        <w:spacing w:after="0" w:line="240" w:lineRule="auto"/>
        <w:contextualSpacing/>
        <w:jc w:val="both"/>
        <w:rPr>
          <w:rFonts w:asciiTheme="minorHAnsi" w:eastAsia="Arial" w:hAnsiTheme="minorHAnsi" w:cs="Arial"/>
          <w:bCs/>
          <w:color w:val="000000"/>
        </w:rPr>
      </w:pPr>
      <w:r w:rsidRPr="00AA6C7C">
        <w:rPr>
          <w:rFonts w:asciiTheme="minorHAnsi" w:eastAsia="Arial" w:hAnsiTheme="minorHAnsi" w:cs="Arial"/>
          <w:bCs/>
          <w:color w:val="000000"/>
        </w:rPr>
        <w:t>Durch die bereits in der Legaldefinition</w:t>
      </w:r>
      <w:r>
        <w:rPr>
          <w:rFonts w:asciiTheme="minorHAnsi" w:eastAsia="Arial" w:hAnsiTheme="minorHAnsi" w:cs="Arial"/>
          <w:bCs/>
          <w:color w:val="000000"/>
        </w:rPr>
        <w:t xml:space="preserve"> </w:t>
      </w:r>
      <w:r w:rsidRPr="00AA6C7C">
        <w:rPr>
          <w:rFonts w:asciiTheme="minorHAnsi" w:eastAsia="Arial" w:hAnsiTheme="minorHAnsi" w:cs="Arial"/>
          <w:bCs/>
          <w:color w:val="000000"/>
        </w:rPr>
        <w:t>der Berufskrankheit enthaltene Erweiterung der Berufskrankheit auf andere</w:t>
      </w:r>
      <w:r>
        <w:rPr>
          <w:rFonts w:asciiTheme="minorHAnsi" w:eastAsia="Arial" w:hAnsiTheme="minorHAnsi" w:cs="Arial"/>
          <w:bCs/>
          <w:color w:val="000000"/>
        </w:rPr>
        <w:t xml:space="preserve"> </w:t>
      </w:r>
      <w:r w:rsidRPr="00AA6C7C">
        <w:rPr>
          <w:rFonts w:asciiTheme="minorHAnsi" w:eastAsia="Arial" w:hAnsiTheme="minorHAnsi" w:cs="Arial"/>
          <w:bCs/>
          <w:color w:val="000000"/>
        </w:rPr>
        <w:t>Tätigkeiten, in denen Personen der Infektionsgefahr in ähnlichem Maße besonders ausgesetzt</w:t>
      </w:r>
      <w:r>
        <w:rPr>
          <w:rFonts w:asciiTheme="minorHAnsi" w:eastAsia="Arial" w:hAnsiTheme="minorHAnsi" w:cs="Arial"/>
          <w:bCs/>
          <w:color w:val="000000"/>
        </w:rPr>
        <w:t xml:space="preserve"> </w:t>
      </w:r>
      <w:r w:rsidRPr="00AA6C7C">
        <w:rPr>
          <w:rFonts w:asciiTheme="minorHAnsi" w:eastAsia="Arial" w:hAnsiTheme="minorHAnsi" w:cs="Arial"/>
          <w:bCs/>
          <w:color w:val="000000"/>
        </w:rPr>
        <w:t>sind, kommen auch andere Berufsgrup</w:t>
      </w:r>
      <w:r>
        <w:rPr>
          <w:rFonts w:asciiTheme="minorHAnsi" w:eastAsia="Arial" w:hAnsiTheme="minorHAnsi" w:cs="Arial"/>
          <w:bCs/>
          <w:color w:val="000000"/>
        </w:rPr>
        <w:t>pen und Tätigkeiten in Betracht</w:t>
      </w:r>
    </w:p>
    <w:p w:rsidR="00AA6C7C" w:rsidRDefault="00AA6C7C" w:rsidP="00AA6C7C">
      <w:pPr>
        <w:numPr>
          <w:ilvl w:val="1"/>
          <w:numId w:val="17"/>
        </w:numPr>
        <w:spacing w:after="0" w:line="240" w:lineRule="auto"/>
        <w:contextualSpacing/>
        <w:jc w:val="both"/>
        <w:rPr>
          <w:rFonts w:asciiTheme="minorHAnsi" w:eastAsia="Arial" w:hAnsiTheme="minorHAnsi" w:cs="Arial"/>
          <w:bCs/>
          <w:color w:val="000000"/>
        </w:rPr>
      </w:pPr>
      <w:r w:rsidRPr="00AA6C7C">
        <w:rPr>
          <w:rFonts w:asciiTheme="minorHAnsi" w:eastAsia="Arial" w:hAnsiTheme="minorHAnsi" w:cs="Arial"/>
          <w:bCs/>
          <w:color w:val="000000"/>
        </w:rPr>
        <w:t>Diese Frage</w:t>
      </w:r>
      <w:r>
        <w:rPr>
          <w:rFonts w:asciiTheme="minorHAnsi" w:eastAsia="Arial" w:hAnsiTheme="minorHAnsi" w:cs="Arial"/>
          <w:bCs/>
          <w:color w:val="000000"/>
        </w:rPr>
        <w:t xml:space="preserve"> </w:t>
      </w:r>
      <w:r w:rsidRPr="00AA6C7C">
        <w:rPr>
          <w:rFonts w:asciiTheme="minorHAnsi" w:eastAsia="Arial" w:hAnsiTheme="minorHAnsi" w:cs="Arial"/>
          <w:bCs/>
          <w:color w:val="000000"/>
        </w:rPr>
        <w:t>wird vom ÄSVB anhand wissenschaftlicher Erkenntnisse und Studien zu Covid-19 geprüft.</w:t>
      </w:r>
      <w:r>
        <w:rPr>
          <w:rFonts w:asciiTheme="minorHAnsi" w:eastAsia="Arial" w:hAnsiTheme="minorHAnsi" w:cs="Arial"/>
          <w:bCs/>
          <w:color w:val="000000"/>
        </w:rPr>
        <w:t xml:space="preserve"> </w:t>
      </w:r>
      <w:r w:rsidRPr="00AA6C7C">
        <w:rPr>
          <w:rFonts w:asciiTheme="minorHAnsi" w:eastAsia="Arial" w:hAnsiTheme="minorHAnsi" w:cs="Arial"/>
          <w:bCs/>
          <w:color w:val="000000"/>
        </w:rPr>
        <w:t>Nach aktuellem Stand konnte ein vergleichbares Infektionsrisiko bei anderen Berufsgruppen</w:t>
      </w:r>
      <w:r>
        <w:rPr>
          <w:rFonts w:asciiTheme="minorHAnsi" w:eastAsia="Arial" w:hAnsiTheme="minorHAnsi" w:cs="Arial"/>
          <w:bCs/>
          <w:color w:val="000000"/>
        </w:rPr>
        <w:t xml:space="preserve"> </w:t>
      </w:r>
      <w:r w:rsidRPr="00AA6C7C">
        <w:rPr>
          <w:rFonts w:asciiTheme="minorHAnsi" w:eastAsia="Arial" w:hAnsiTheme="minorHAnsi" w:cs="Arial"/>
          <w:bCs/>
          <w:color w:val="000000"/>
        </w:rPr>
        <w:t>bisher</w:t>
      </w:r>
      <w:r>
        <w:rPr>
          <w:rFonts w:asciiTheme="minorHAnsi" w:eastAsia="Arial" w:hAnsiTheme="minorHAnsi" w:cs="Arial"/>
          <w:bCs/>
          <w:color w:val="000000"/>
        </w:rPr>
        <w:t xml:space="preserve"> noch nicht festgestellt werden</w:t>
      </w:r>
    </w:p>
    <w:p w:rsidR="00AA6C7C" w:rsidRDefault="00AA6C7C" w:rsidP="00AA6C7C">
      <w:pPr>
        <w:numPr>
          <w:ilvl w:val="1"/>
          <w:numId w:val="17"/>
        </w:numPr>
        <w:spacing w:after="0" w:line="240" w:lineRule="auto"/>
        <w:contextualSpacing/>
        <w:jc w:val="both"/>
        <w:rPr>
          <w:rFonts w:asciiTheme="minorHAnsi" w:eastAsia="Arial" w:hAnsiTheme="minorHAnsi" w:cs="Arial"/>
          <w:bCs/>
          <w:color w:val="000000"/>
        </w:rPr>
      </w:pPr>
      <w:r w:rsidRPr="00AA6C7C">
        <w:rPr>
          <w:rFonts w:asciiTheme="minorHAnsi" w:eastAsia="Arial" w:hAnsiTheme="minorHAnsi" w:cs="Arial"/>
          <w:bCs/>
          <w:color w:val="000000"/>
        </w:rPr>
        <w:lastRenderedPageBreak/>
        <w:t>Sofern der ÄSVB zu bestehenden Berufskrankheiten neue Erkenntnisse hat, werden diese</w:t>
      </w:r>
      <w:r>
        <w:rPr>
          <w:rFonts w:asciiTheme="minorHAnsi" w:eastAsia="Arial" w:hAnsiTheme="minorHAnsi" w:cs="Arial"/>
          <w:bCs/>
          <w:color w:val="000000"/>
        </w:rPr>
        <w:t xml:space="preserve"> </w:t>
      </w:r>
      <w:r w:rsidRPr="00AA6C7C">
        <w:rPr>
          <w:rFonts w:asciiTheme="minorHAnsi" w:eastAsia="Arial" w:hAnsiTheme="minorHAnsi" w:cs="Arial"/>
          <w:bCs/>
          <w:color w:val="000000"/>
        </w:rPr>
        <w:t>in einer wissenschaftlichen Stellungnahme niedergelegt und veröffentlicht. Dies würde auch</w:t>
      </w:r>
      <w:r>
        <w:rPr>
          <w:rFonts w:asciiTheme="minorHAnsi" w:eastAsia="Arial" w:hAnsiTheme="minorHAnsi" w:cs="Arial"/>
          <w:bCs/>
          <w:color w:val="000000"/>
        </w:rPr>
        <w:t xml:space="preserve"> </w:t>
      </w:r>
      <w:r w:rsidRPr="00AA6C7C">
        <w:rPr>
          <w:rFonts w:asciiTheme="minorHAnsi" w:eastAsia="Arial" w:hAnsiTheme="minorHAnsi" w:cs="Arial"/>
          <w:bCs/>
          <w:color w:val="000000"/>
        </w:rPr>
        <w:t>i</w:t>
      </w:r>
      <w:r>
        <w:rPr>
          <w:rFonts w:asciiTheme="minorHAnsi" w:eastAsia="Arial" w:hAnsiTheme="minorHAnsi" w:cs="Arial"/>
          <w:bCs/>
          <w:color w:val="000000"/>
        </w:rPr>
        <w:t>m Fall der BK Nr. 3101 erfolgen</w:t>
      </w:r>
    </w:p>
    <w:p w:rsidR="00AA6C7C" w:rsidRDefault="00AA6C7C" w:rsidP="00AA6C7C">
      <w:pPr>
        <w:numPr>
          <w:ilvl w:val="1"/>
          <w:numId w:val="17"/>
        </w:numPr>
        <w:spacing w:after="0" w:line="240" w:lineRule="auto"/>
        <w:contextualSpacing/>
        <w:jc w:val="both"/>
        <w:rPr>
          <w:rFonts w:asciiTheme="minorHAnsi" w:eastAsia="Arial" w:hAnsiTheme="minorHAnsi" w:cs="Arial"/>
          <w:bCs/>
          <w:color w:val="000000"/>
        </w:rPr>
      </w:pPr>
      <w:r w:rsidRPr="00AA6C7C">
        <w:rPr>
          <w:rFonts w:asciiTheme="minorHAnsi" w:eastAsia="Arial" w:hAnsiTheme="minorHAnsi" w:cs="Arial"/>
          <w:bCs/>
          <w:color w:val="000000"/>
        </w:rPr>
        <w:t>Die Erstellung von Merkblättern zu Berufskrankheiten</w:t>
      </w:r>
      <w:r>
        <w:rPr>
          <w:rFonts w:asciiTheme="minorHAnsi" w:eastAsia="Arial" w:hAnsiTheme="minorHAnsi" w:cs="Arial"/>
          <w:bCs/>
          <w:color w:val="000000"/>
        </w:rPr>
        <w:t xml:space="preserve"> </w:t>
      </w:r>
      <w:r w:rsidRPr="00AA6C7C">
        <w:rPr>
          <w:rFonts w:asciiTheme="minorHAnsi" w:eastAsia="Arial" w:hAnsiTheme="minorHAnsi" w:cs="Arial"/>
          <w:bCs/>
          <w:color w:val="000000"/>
        </w:rPr>
        <w:t>wurde im Jahr 2010 eingestellt. Eine Ergänzung des Merkblattes zur BK Nr. 3101 ist deshalb</w:t>
      </w:r>
      <w:r>
        <w:rPr>
          <w:rFonts w:asciiTheme="minorHAnsi" w:eastAsia="Arial" w:hAnsiTheme="minorHAnsi" w:cs="Arial"/>
          <w:bCs/>
          <w:color w:val="000000"/>
        </w:rPr>
        <w:t xml:space="preserve"> </w:t>
      </w:r>
      <w:r w:rsidRPr="00AA6C7C">
        <w:rPr>
          <w:rFonts w:asciiTheme="minorHAnsi" w:eastAsia="Arial" w:hAnsiTheme="minorHAnsi" w:cs="Arial"/>
          <w:bCs/>
          <w:color w:val="000000"/>
        </w:rPr>
        <w:t>nicht vorgesehen.</w:t>
      </w:r>
    </w:p>
    <w:p w:rsidR="00804005" w:rsidRPr="00804005" w:rsidRDefault="00804005" w:rsidP="00804005">
      <w:pPr>
        <w:pStyle w:val="Listenabsatz"/>
        <w:numPr>
          <w:ilvl w:val="0"/>
          <w:numId w:val="17"/>
        </w:numPr>
        <w:rPr>
          <w:rFonts w:asciiTheme="minorHAnsi" w:eastAsia="Arial" w:hAnsiTheme="minorHAnsi" w:cs="Arial"/>
          <w:b/>
          <w:bCs/>
          <w:color w:val="000000"/>
        </w:rPr>
      </w:pPr>
      <w:r w:rsidRPr="00804005">
        <w:rPr>
          <w:rFonts w:asciiTheme="minorHAnsi" w:eastAsia="Arial" w:hAnsiTheme="minorHAnsi" w:cs="Arial"/>
          <w:b/>
          <w:bCs/>
          <w:color w:val="000000"/>
        </w:rPr>
        <w:t>Die Beratungen des ÄSVB zu</w:t>
      </w:r>
      <w:r>
        <w:rPr>
          <w:rFonts w:asciiTheme="minorHAnsi" w:eastAsia="Arial" w:hAnsiTheme="minorHAnsi" w:cs="Arial"/>
          <w:b/>
          <w:bCs/>
          <w:color w:val="000000"/>
        </w:rPr>
        <w:t xml:space="preserve"> Covid-19</w:t>
      </w:r>
      <w:r w:rsidRPr="00804005">
        <w:rPr>
          <w:rFonts w:asciiTheme="minorHAnsi" w:eastAsia="Arial" w:hAnsiTheme="minorHAnsi" w:cs="Arial"/>
          <w:b/>
          <w:bCs/>
          <w:color w:val="000000"/>
        </w:rPr>
        <w:t xml:space="preserve"> </w:t>
      </w:r>
      <w:r w:rsidRPr="00804005">
        <w:rPr>
          <w:rFonts w:asciiTheme="minorHAnsi" w:eastAsia="Arial" w:hAnsiTheme="minorHAnsi" w:cs="Arial"/>
          <w:bCs/>
          <w:color w:val="000000"/>
        </w:rPr>
        <w:t>sind noch nicht abgeschlossen</w:t>
      </w:r>
      <w:r>
        <w:rPr>
          <w:rFonts w:asciiTheme="minorHAnsi" w:eastAsia="Arial" w:hAnsiTheme="minorHAnsi" w:cs="Arial"/>
          <w:bCs/>
          <w:color w:val="000000"/>
        </w:rPr>
        <w:t xml:space="preserve"> (s. Frage 7):</w:t>
      </w:r>
    </w:p>
    <w:p w:rsidR="00804005" w:rsidRPr="00804005" w:rsidRDefault="00AA6C7C" w:rsidP="00804005">
      <w:pPr>
        <w:pStyle w:val="Listenabsatz"/>
        <w:numPr>
          <w:ilvl w:val="1"/>
          <w:numId w:val="17"/>
        </w:numPr>
        <w:rPr>
          <w:rFonts w:asciiTheme="minorHAnsi" w:eastAsia="Arial" w:hAnsiTheme="minorHAnsi" w:cs="Arial"/>
          <w:b/>
          <w:bCs/>
          <w:color w:val="000000"/>
        </w:rPr>
      </w:pPr>
      <w:r w:rsidRPr="00804005">
        <w:rPr>
          <w:rFonts w:asciiTheme="minorHAnsi" w:eastAsia="Arial" w:hAnsiTheme="minorHAnsi" w:cs="Arial"/>
          <w:bCs/>
          <w:color w:val="000000"/>
        </w:rPr>
        <w:t>Der ÄSVB hat seit der letzten Sitzung vor Beginn der Corona-Pandemie, die im Februar 2020 stattfand, insgesamt dreimal getagt. (…</w:t>
      </w:r>
      <w:r w:rsidR="00804005">
        <w:rPr>
          <w:rFonts w:asciiTheme="minorHAnsi" w:eastAsia="Arial" w:hAnsiTheme="minorHAnsi" w:cs="Arial"/>
          <w:bCs/>
          <w:color w:val="000000"/>
        </w:rPr>
        <w:t xml:space="preserve">). </w:t>
      </w:r>
      <w:r w:rsidRPr="00804005">
        <w:rPr>
          <w:rFonts w:asciiTheme="minorHAnsi" w:eastAsia="Arial" w:hAnsiTheme="minorHAnsi" w:cs="Arial"/>
          <w:bCs/>
          <w:color w:val="000000"/>
        </w:rPr>
        <w:t>Auf jeder der drei genannten Sitzungen w</w:t>
      </w:r>
      <w:r w:rsidR="00804005" w:rsidRPr="00804005">
        <w:rPr>
          <w:rFonts w:asciiTheme="minorHAnsi" w:eastAsia="Arial" w:hAnsiTheme="minorHAnsi" w:cs="Arial"/>
          <w:bCs/>
          <w:color w:val="000000"/>
        </w:rPr>
        <w:t>urde das Thema Covid-19 beraten</w:t>
      </w:r>
    </w:p>
    <w:p w:rsidR="00804005" w:rsidRPr="00804005" w:rsidRDefault="00804005" w:rsidP="00804005">
      <w:pPr>
        <w:pStyle w:val="Listenabsatz"/>
        <w:numPr>
          <w:ilvl w:val="1"/>
          <w:numId w:val="17"/>
        </w:numPr>
        <w:rPr>
          <w:rFonts w:asciiTheme="minorHAnsi" w:eastAsia="Arial" w:hAnsiTheme="minorHAnsi" w:cs="Arial"/>
          <w:b/>
          <w:bCs/>
          <w:color w:val="000000"/>
        </w:rPr>
      </w:pPr>
      <w:r w:rsidRPr="00804005">
        <w:rPr>
          <w:rFonts w:asciiTheme="minorHAnsi" w:eastAsia="Arial" w:hAnsiTheme="minorHAnsi" w:cs="Arial"/>
          <w:bCs/>
          <w:color w:val="000000"/>
        </w:rPr>
        <w:t>Eine Arbeitsgruppe innerhalb des ÄSVB beschäftigt sich auch unabhängig von den Sitzungsterminen mit der Entwicklung zu Covid-19-Erkrankungen und wertet Veröffentlichungen aus</w:t>
      </w:r>
    </w:p>
    <w:p w:rsidR="00804005" w:rsidRPr="00804005" w:rsidRDefault="00804005" w:rsidP="00804005">
      <w:pPr>
        <w:pStyle w:val="Listenabsatz"/>
        <w:numPr>
          <w:ilvl w:val="1"/>
          <w:numId w:val="17"/>
        </w:numPr>
        <w:rPr>
          <w:rFonts w:asciiTheme="minorHAnsi" w:eastAsia="Arial" w:hAnsiTheme="minorHAnsi" w:cs="Arial"/>
          <w:b/>
          <w:bCs/>
          <w:color w:val="000000"/>
        </w:rPr>
      </w:pPr>
      <w:r w:rsidRPr="00804005">
        <w:rPr>
          <w:rFonts w:asciiTheme="minorHAnsi" w:eastAsia="Arial" w:hAnsiTheme="minorHAnsi" w:cs="Arial"/>
          <w:bCs/>
          <w:color w:val="000000"/>
        </w:rPr>
        <w:t>Entsprechend der Geschäftsordnung des ÄSVB werden Ergebnisniederschriften über dessen Sitzungen angefertigt. Die Ergebnisniederschriften sind, wie die Sitzungen selbst, nicht öffentlich</w:t>
      </w:r>
    </w:p>
    <w:p w:rsidR="00804005" w:rsidRPr="00804005" w:rsidRDefault="00804005" w:rsidP="00804005">
      <w:pPr>
        <w:pStyle w:val="Listenabsatz"/>
        <w:numPr>
          <w:ilvl w:val="1"/>
          <w:numId w:val="17"/>
        </w:numPr>
        <w:rPr>
          <w:rFonts w:asciiTheme="minorHAnsi" w:eastAsia="Arial" w:hAnsiTheme="minorHAnsi" w:cs="Arial"/>
          <w:b/>
          <w:bCs/>
          <w:color w:val="000000"/>
        </w:rPr>
      </w:pPr>
      <w:r w:rsidRPr="00804005">
        <w:rPr>
          <w:rFonts w:asciiTheme="minorHAnsi" w:eastAsia="Arial" w:hAnsiTheme="minorHAnsi" w:cs="Arial"/>
          <w:bCs/>
          <w:color w:val="000000"/>
        </w:rPr>
        <w:t>Die Ergebnisse der Beratungen des ÄSVB werden vom BMAS als wissenschaftliche Empfehlungen (für neue Berufskrankheiten) oder wissenschaftliche Stellungnahmen (zu bestehenden Be</w:t>
      </w:r>
      <w:r>
        <w:rPr>
          <w:rFonts w:asciiTheme="minorHAnsi" w:eastAsia="Arial" w:hAnsiTheme="minorHAnsi" w:cs="Arial"/>
          <w:bCs/>
          <w:color w:val="000000"/>
        </w:rPr>
        <w:t>rufskrankheiten) veröffentlicht</w:t>
      </w:r>
    </w:p>
    <w:p w:rsidR="00804005" w:rsidRDefault="00804005" w:rsidP="00804005">
      <w:pPr>
        <w:pStyle w:val="Listenabsatz"/>
        <w:numPr>
          <w:ilvl w:val="1"/>
          <w:numId w:val="17"/>
        </w:numPr>
        <w:rPr>
          <w:rFonts w:asciiTheme="minorHAnsi" w:eastAsia="Arial" w:hAnsiTheme="minorHAnsi" w:cs="Arial"/>
          <w:bCs/>
          <w:color w:val="000000"/>
        </w:rPr>
      </w:pPr>
      <w:r w:rsidRPr="00804005">
        <w:rPr>
          <w:rFonts w:asciiTheme="minorHAnsi" w:eastAsia="Arial" w:hAnsiTheme="minorHAnsi" w:cs="Arial"/>
          <w:bCs/>
          <w:color w:val="000000"/>
        </w:rPr>
        <w:t xml:space="preserve">Jedes Mitglied verfügt über Kenntnisse der Epidemiologie (Häufigkeit und Verteilung von Krankheiten in der Bevölkerung), da dies einen Kernbereich arbeitsmedizinischer Forschung </w:t>
      </w:r>
      <w:r>
        <w:rPr>
          <w:rFonts w:asciiTheme="minorHAnsi" w:eastAsia="Arial" w:hAnsiTheme="minorHAnsi" w:cs="Arial"/>
          <w:bCs/>
          <w:color w:val="000000"/>
        </w:rPr>
        <w:t>darstellt</w:t>
      </w:r>
    </w:p>
    <w:p w:rsidR="00804005" w:rsidRDefault="00804005" w:rsidP="00804005">
      <w:pPr>
        <w:pStyle w:val="Listenabsatz"/>
        <w:numPr>
          <w:ilvl w:val="1"/>
          <w:numId w:val="17"/>
        </w:numPr>
        <w:rPr>
          <w:rFonts w:asciiTheme="minorHAnsi" w:eastAsia="Arial" w:hAnsiTheme="minorHAnsi" w:cs="Arial"/>
          <w:bCs/>
          <w:color w:val="000000"/>
        </w:rPr>
      </w:pPr>
      <w:r w:rsidRPr="00804005">
        <w:rPr>
          <w:rFonts w:asciiTheme="minorHAnsi" w:eastAsia="Arial" w:hAnsiTheme="minorHAnsi" w:cs="Arial"/>
          <w:bCs/>
          <w:color w:val="000000"/>
        </w:rPr>
        <w:t>Covid-19 wird erneut auf der Sitzung des</w:t>
      </w:r>
      <w:r>
        <w:rPr>
          <w:rFonts w:asciiTheme="minorHAnsi" w:eastAsia="Arial" w:hAnsiTheme="minorHAnsi" w:cs="Arial"/>
          <w:bCs/>
          <w:color w:val="000000"/>
        </w:rPr>
        <w:t xml:space="preserve"> </w:t>
      </w:r>
      <w:r w:rsidRPr="00804005">
        <w:rPr>
          <w:rFonts w:asciiTheme="minorHAnsi" w:eastAsia="Arial" w:hAnsiTheme="minorHAnsi" w:cs="Arial"/>
          <w:bCs/>
          <w:color w:val="000000"/>
        </w:rPr>
        <w:t>ÄSVB am 8. Juni 2021 beraten.</w:t>
      </w:r>
    </w:p>
    <w:p w:rsidR="001348FA" w:rsidRDefault="001348FA" w:rsidP="001348FA">
      <w:pPr>
        <w:pStyle w:val="Listenabsatz"/>
        <w:numPr>
          <w:ilvl w:val="0"/>
          <w:numId w:val="17"/>
        </w:numPr>
        <w:rPr>
          <w:rFonts w:asciiTheme="minorHAnsi" w:eastAsia="Arial" w:hAnsiTheme="minorHAnsi" w:cs="Arial"/>
          <w:bCs/>
          <w:color w:val="000000"/>
        </w:rPr>
      </w:pPr>
      <w:r w:rsidRPr="001348FA">
        <w:rPr>
          <w:rFonts w:asciiTheme="minorHAnsi" w:eastAsia="Arial" w:hAnsiTheme="minorHAnsi" w:cs="Arial"/>
          <w:b/>
          <w:bCs/>
          <w:color w:val="000000"/>
        </w:rPr>
        <w:t xml:space="preserve">Der Umfang des Unfallversicherungsschutzes einer in Deutschland tätigen Person </w:t>
      </w:r>
      <w:r w:rsidRPr="001348FA">
        <w:rPr>
          <w:rFonts w:asciiTheme="minorHAnsi" w:eastAsia="Arial" w:hAnsiTheme="minorHAnsi" w:cs="Arial"/>
          <w:bCs/>
          <w:color w:val="000000"/>
        </w:rPr>
        <w:t>richtet sich nicht nach ihrer Staatsangehörigkeit, sondern nach der Frage, welches Recht der sozialen Sicherheit auf dies</w:t>
      </w:r>
      <w:r>
        <w:rPr>
          <w:rFonts w:asciiTheme="minorHAnsi" w:eastAsia="Arial" w:hAnsiTheme="minorHAnsi" w:cs="Arial"/>
          <w:bCs/>
          <w:color w:val="000000"/>
        </w:rPr>
        <w:t xml:space="preserve">e Person anzuwenden ist (s. Frage 8): </w:t>
      </w:r>
    </w:p>
    <w:p w:rsidR="001348FA" w:rsidRDefault="001348FA" w:rsidP="001348FA">
      <w:pPr>
        <w:pStyle w:val="Listenabsatz"/>
        <w:numPr>
          <w:ilvl w:val="1"/>
          <w:numId w:val="17"/>
        </w:numPr>
        <w:rPr>
          <w:rFonts w:asciiTheme="minorHAnsi" w:eastAsia="Arial" w:hAnsiTheme="minorHAnsi" w:cs="Arial"/>
          <w:bCs/>
          <w:color w:val="000000"/>
        </w:rPr>
      </w:pPr>
      <w:r w:rsidRPr="001348FA">
        <w:rPr>
          <w:rFonts w:asciiTheme="minorHAnsi" w:eastAsia="Arial" w:hAnsiTheme="minorHAnsi" w:cs="Arial"/>
          <w:bCs/>
          <w:color w:val="000000"/>
        </w:rPr>
        <w:t>Als Grundsatz gilt, dass für eine Person</w:t>
      </w:r>
      <w:r>
        <w:rPr>
          <w:rFonts w:asciiTheme="minorHAnsi" w:eastAsia="Arial" w:hAnsiTheme="minorHAnsi" w:cs="Arial"/>
          <w:bCs/>
          <w:color w:val="000000"/>
        </w:rPr>
        <w:t xml:space="preserve"> </w:t>
      </w:r>
      <w:r w:rsidRPr="001348FA">
        <w:rPr>
          <w:rFonts w:asciiTheme="minorHAnsi" w:eastAsia="Arial" w:hAnsiTheme="minorHAnsi" w:cs="Arial"/>
          <w:bCs/>
          <w:color w:val="000000"/>
        </w:rPr>
        <w:t>das Recht der sozialen Sicherheit des Staates gilt, in dem die konkrete Beschäftigung ausgeübt</w:t>
      </w:r>
      <w:r>
        <w:rPr>
          <w:rFonts w:asciiTheme="minorHAnsi" w:eastAsia="Arial" w:hAnsiTheme="minorHAnsi" w:cs="Arial"/>
          <w:bCs/>
          <w:color w:val="000000"/>
        </w:rPr>
        <w:t xml:space="preserve"> wird</w:t>
      </w:r>
    </w:p>
    <w:p w:rsidR="001348FA" w:rsidRDefault="001348FA" w:rsidP="001348FA">
      <w:pPr>
        <w:pStyle w:val="Listenabsatz"/>
        <w:numPr>
          <w:ilvl w:val="1"/>
          <w:numId w:val="17"/>
        </w:numPr>
        <w:rPr>
          <w:rFonts w:asciiTheme="minorHAnsi" w:eastAsia="Arial" w:hAnsiTheme="minorHAnsi" w:cs="Arial"/>
          <w:bCs/>
          <w:color w:val="000000"/>
        </w:rPr>
      </w:pPr>
      <w:r w:rsidRPr="001348FA">
        <w:rPr>
          <w:rFonts w:asciiTheme="minorHAnsi" w:eastAsia="Arial" w:hAnsiTheme="minorHAnsi" w:cs="Arial"/>
          <w:bCs/>
          <w:color w:val="000000"/>
        </w:rPr>
        <w:t xml:space="preserve">Das bedeutet, in Deutschland tätige Person unterliegen - unabhängig von </w:t>
      </w:r>
      <w:proofErr w:type="spellStart"/>
      <w:r w:rsidRPr="001348FA">
        <w:rPr>
          <w:rFonts w:asciiTheme="minorHAnsi" w:eastAsia="Arial" w:hAnsiTheme="minorHAnsi" w:cs="Arial"/>
          <w:bCs/>
          <w:color w:val="000000"/>
        </w:rPr>
        <w:t>ihrerStaatsbürgerschaft</w:t>
      </w:r>
      <w:proofErr w:type="spellEnd"/>
      <w:r w:rsidRPr="001348FA">
        <w:rPr>
          <w:rFonts w:asciiTheme="minorHAnsi" w:eastAsia="Arial" w:hAnsiTheme="minorHAnsi" w:cs="Arial"/>
          <w:bCs/>
          <w:color w:val="000000"/>
        </w:rPr>
        <w:t xml:space="preserve"> - auch dem deutschen Recht der </w:t>
      </w:r>
      <w:r>
        <w:rPr>
          <w:rFonts w:asciiTheme="minorHAnsi" w:eastAsia="Arial" w:hAnsiTheme="minorHAnsi" w:cs="Arial"/>
          <w:bCs/>
          <w:color w:val="000000"/>
        </w:rPr>
        <w:t>gesetzlichen Unfallversicherung</w:t>
      </w:r>
    </w:p>
    <w:p w:rsidR="001348FA" w:rsidRDefault="001348FA" w:rsidP="001348FA">
      <w:pPr>
        <w:pStyle w:val="Listenabsatz"/>
        <w:numPr>
          <w:ilvl w:val="1"/>
          <w:numId w:val="17"/>
        </w:numPr>
        <w:rPr>
          <w:rFonts w:asciiTheme="minorHAnsi" w:eastAsia="Arial" w:hAnsiTheme="minorHAnsi" w:cs="Arial"/>
          <w:bCs/>
          <w:color w:val="000000"/>
        </w:rPr>
      </w:pPr>
      <w:r w:rsidRPr="001348FA">
        <w:rPr>
          <w:rFonts w:asciiTheme="minorHAnsi" w:eastAsia="Arial" w:hAnsiTheme="minorHAnsi" w:cs="Arial"/>
          <w:bCs/>
          <w:color w:val="000000"/>
        </w:rPr>
        <w:t>Ausnahmen von diesem Grundsatz gibt es insbesondere bei folgenden Fallgruppen:</w:t>
      </w:r>
    </w:p>
    <w:p w:rsidR="001348FA" w:rsidRDefault="001348FA" w:rsidP="001348FA">
      <w:pPr>
        <w:pStyle w:val="Listenabsatz"/>
        <w:numPr>
          <w:ilvl w:val="2"/>
          <w:numId w:val="17"/>
        </w:numPr>
        <w:rPr>
          <w:rFonts w:asciiTheme="minorHAnsi" w:eastAsia="Arial" w:hAnsiTheme="minorHAnsi" w:cs="Arial"/>
          <w:bCs/>
          <w:color w:val="000000"/>
        </w:rPr>
      </w:pPr>
      <w:r w:rsidRPr="001348FA">
        <w:rPr>
          <w:rFonts w:asciiTheme="minorHAnsi" w:eastAsia="Arial" w:hAnsiTheme="minorHAnsi" w:cs="Arial"/>
          <w:bCs/>
          <w:color w:val="000000"/>
        </w:rPr>
        <w:t>Für abhängig Beschäftigte wie auch selbstständig tätige Person, die aus einem anderen</w:t>
      </w:r>
      <w:r>
        <w:rPr>
          <w:rFonts w:asciiTheme="minorHAnsi" w:eastAsia="Arial" w:hAnsiTheme="minorHAnsi" w:cs="Arial"/>
          <w:bCs/>
          <w:color w:val="000000"/>
        </w:rPr>
        <w:t xml:space="preserve"> </w:t>
      </w:r>
      <w:r w:rsidRPr="001348FA">
        <w:rPr>
          <w:rFonts w:asciiTheme="minorHAnsi" w:eastAsia="Arial" w:hAnsiTheme="minorHAnsi" w:cs="Arial"/>
          <w:bCs/>
          <w:color w:val="000000"/>
        </w:rPr>
        <w:t>Mitgliedstaat der EU (z. B. Polen, Rumänien, Bulgarien), des EWR oder der Schweiz im</w:t>
      </w:r>
      <w:r>
        <w:rPr>
          <w:rFonts w:asciiTheme="minorHAnsi" w:eastAsia="Arial" w:hAnsiTheme="minorHAnsi" w:cs="Arial"/>
          <w:bCs/>
          <w:color w:val="000000"/>
        </w:rPr>
        <w:t xml:space="preserve"> </w:t>
      </w:r>
      <w:r w:rsidRPr="001348FA">
        <w:rPr>
          <w:rFonts w:asciiTheme="minorHAnsi" w:eastAsia="Arial" w:hAnsiTheme="minorHAnsi" w:cs="Arial"/>
          <w:bCs/>
          <w:color w:val="000000"/>
        </w:rPr>
        <w:t>Sinne von Artikel 12 Verordnung (EG) Nr. 883/2004 nach Deutschland entsandt sind, gilt</w:t>
      </w:r>
      <w:r>
        <w:rPr>
          <w:rFonts w:asciiTheme="minorHAnsi" w:eastAsia="Arial" w:hAnsiTheme="minorHAnsi" w:cs="Arial"/>
          <w:bCs/>
          <w:color w:val="000000"/>
        </w:rPr>
        <w:t xml:space="preserve"> </w:t>
      </w:r>
      <w:r w:rsidRPr="001348FA">
        <w:rPr>
          <w:rFonts w:asciiTheme="minorHAnsi" w:eastAsia="Arial" w:hAnsiTheme="minorHAnsi" w:cs="Arial"/>
          <w:bCs/>
          <w:color w:val="000000"/>
        </w:rPr>
        <w:t>das Recht des Entsendestaa</w:t>
      </w:r>
      <w:r>
        <w:rPr>
          <w:rFonts w:asciiTheme="minorHAnsi" w:eastAsia="Arial" w:hAnsiTheme="minorHAnsi" w:cs="Arial"/>
          <w:bCs/>
          <w:color w:val="000000"/>
        </w:rPr>
        <w:t>tes während der Entsendung fort</w:t>
      </w:r>
    </w:p>
    <w:p w:rsidR="001348FA" w:rsidRDefault="001348FA" w:rsidP="001348FA">
      <w:pPr>
        <w:pStyle w:val="Listenabsatz"/>
        <w:numPr>
          <w:ilvl w:val="2"/>
          <w:numId w:val="17"/>
        </w:numPr>
        <w:rPr>
          <w:rFonts w:asciiTheme="minorHAnsi" w:eastAsia="Arial" w:hAnsiTheme="minorHAnsi" w:cs="Arial"/>
          <w:bCs/>
          <w:color w:val="000000"/>
        </w:rPr>
      </w:pPr>
      <w:r w:rsidRPr="001348FA">
        <w:rPr>
          <w:rFonts w:asciiTheme="minorHAnsi" w:eastAsia="Arial" w:hAnsiTheme="minorHAnsi" w:cs="Arial"/>
          <w:bCs/>
          <w:color w:val="000000"/>
        </w:rPr>
        <w:t>Abhängig Beschäftigte wie auch selbstständig tätige Personen, die aus einem Staat, mit</w:t>
      </w:r>
      <w:r>
        <w:rPr>
          <w:rFonts w:asciiTheme="minorHAnsi" w:eastAsia="Arial" w:hAnsiTheme="minorHAnsi" w:cs="Arial"/>
          <w:bCs/>
          <w:color w:val="000000"/>
        </w:rPr>
        <w:t xml:space="preserve"> </w:t>
      </w:r>
      <w:r w:rsidRPr="001348FA">
        <w:rPr>
          <w:rFonts w:asciiTheme="minorHAnsi" w:eastAsia="Arial" w:hAnsiTheme="minorHAnsi" w:cs="Arial"/>
          <w:bCs/>
          <w:color w:val="000000"/>
        </w:rPr>
        <w:t>dem ein bilaterales Abkommen über die soziale Sicherheit geschlossen wurde, vorübergehend</w:t>
      </w:r>
      <w:r>
        <w:rPr>
          <w:rFonts w:asciiTheme="minorHAnsi" w:eastAsia="Arial" w:hAnsiTheme="minorHAnsi" w:cs="Arial"/>
          <w:bCs/>
          <w:color w:val="000000"/>
        </w:rPr>
        <w:t xml:space="preserve"> </w:t>
      </w:r>
      <w:r w:rsidRPr="001348FA">
        <w:rPr>
          <w:rFonts w:asciiTheme="minorHAnsi" w:eastAsia="Arial" w:hAnsiTheme="minorHAnsi" w:cs="Arial"/>
          <w:bCs/>
          <w:color w:val="000000"/>
        </w:rPr>
        <w:t>nach Deutschland entsendet werden, unterliegen nach Maßgabe des jeweiligen Sozialversicherungsabkommens</w:t>
      </w:r>
      <w:r>
        <w:rPr>
          <w:rFonts w:asciiTheme="minorHAnsi" w:eastAsia="Arial" w:hAnsiTheme="minorHAnsi" w:cs="Arial"/>
          <w:bCs/>
          <w:color w:val="000000"/>
        </w:rPr>
        <w:t xml:space="preserve"> </w:t>
      </w:r>
      <w:r w:rsidRPr="001348FA">
        <w:rPr>
          <w:rFonts w:asciiTheme="minorHAnsi" w:eastAsia="Arial" w:hAnsiTheme="minorHAnsi" w:cs="Arial"/>
          <w:bCs/>
          <w:color w:val="000000"/>
        </w:rPr>
        <w:t>ebenfalls während ihrer Tätigkeit in Deutschland ganz oder</w:t>
      </w:r>
      <w:r>
        <w:rPr>
          <w:rFonts w:asciiTheme="minorHAnsi" w:eastAsia="Arial" w:hAnsiTheme="minorHAnsi" w:cs="Arial"/>
          <w:bCs/>
          <w:color w:val="000000"/>
        </w:rPr>
        <w:t xml:space="preserve"> </w:t>
      </w:r>
      <w:r w:rsidRPr="001348FA">
        <w:rPr>
          <w:rFonts w:asciiTheme="minorHAnsi" w:eastAsia="Arial" w:hAnsiTheme="minorHAnsi" w:cs="Arial"/>
          <w:bCs/>
          <w:color w:val="000000"/>
        </w:rPr>
        <w:t>teilweise dem Recht der sozialen Sicherhei</w:t>
      </w:r>
      <w:r>
        <w:rPr>
          <w:rFonts w:asciiTheme="minorHAnsi" w:eastAsia="Arial" w:hAnsiTheme="minorHAnsi" w:cs="Arial"/>
          <w:bCs/>
          <w:color w:val="000000"/>
        </w:rPr>
        <w:t xml:space="preserve">t des anderen </w:t>
      </w:r>
      <w:proofErr w:type="spellStart"/>
      <w:r>
        <w:rPr>
          <w:rFonts w:asciiTheme="minorHAnsi" w:eastAsia="Arial" w:hAnsiTheme="minorHAnsi" w:cs="Arial"/>
          <w:bCs/>
          <w:color w:val="000000"/>
        </w:rPr>
        <w:t>Abkommensstaates</w:t>
      </w:r>
      <w:proofErr w:type="spellEnd"/>
    </w:p>
    <w:p w:rsidR="001348FA" w:rsidRDefault="001348FA" w:rsidP="001348FA">
      <w:pPr>
        <w:pStyle w:val="Listenabsatz"/>
        <w:numPr>
          <w:ilvl w:val="2"/>
          <w:numId w:val="17"/>
        </w:numPr>
        <w:rPr>
          <w:rFonts w:asciiTheme="minorHAnsi" w:eastAsia="Arial" w:hAnsiTheme="minorHAnsi" w:cs="Arial"/>
          <w:bCs/>
          <w:color w:val="000000"/>
        </w:rPr>
      </w:pPr>
      <w:r w:rsidRPr="001348FA">
        <w:rPr>
          <w:rFonts w:asciiTheme="minorHAnsi" w:eastAsia="Arial" w:hAnsiTheme="minorHAnsi" w:cs="Arial"/>
          <w:bCs/>
          <w:color w:val="000000"/>
        </w:rPr>
        <w:t xml:space="preserve">Abhängig </w:t>
      </w:r>
      <w:proofErr w:type="spellStart"/>
      <w:r w:rsidRPr="001348FA">
        <w:rPr>
          <w:rFonts w:asciiTheme="minorHAnsi" w:eastAsia="Arial" w:hAnsiTheme="minorHAnsi" w:cs="Arial"/>
          <w:bCs/>
          <w:color w:val="000000"/>
        </w:rPr>
        <w:t>beschäftigte</w:t>
      </w:r>
      <w:proofErr w:type="spellEnd"/>
      <w:r w:rsidRPr="001348FA">
        <w:rPr>
          <w:rFonts w:asciiTheme="minorHAnsi" w:eastAsia="Arial" w:hAnsiTheme="minorHAnsi" w:cs="Arial"/>
          <w:bCs/>
          <w:color w:val="000000"/>
        </w:rPr>
        <w:t xml:space="preserve"> Personen, die aus dem vertragslosen Ausland (z.B. Georgien, Ukraine)</w:t>
      </w:r>
      <w:r>
        <w:rPr>
          <w:rFonts w:asciiTheme="minorHAnsi" w:eastAsia="Arial" w:hAnsiTheme="minorHAnsi" w:cs="Arial"/>
          <w:bCs/>
          <w:color w:val="000000"/>
        </w:rPr>
        <w:t xml:space="preserve"> </w:t>
      </w:r>
      <w:r w:rsidRPr="001348FA">
        <w:rPr>
          <w:rFonts w:asciiTheme="minorHAnsi" w:eastAsia="Arial" w:hAnsiTheme="minorHAnsi" w:cs="Arial"/>
          <w:bCs/>
          <w:color w:val="000000"/>
        </w:rPr>
        <w:t>vorübergehend im Sinne des § 5 SGB IV (Einstrahlung) nach Deutschland entsendet</w:t>
      </w:r>
      <w:r>
        <w:rPr>
          <w:rFonts w:asciiTheme="minorHAnsi" w:eastAsia="Arial" w:hAnsiTheme="minorHAnsi" w:cs="Arial"/>
          <w:bCs/>
          <w:color w:val="000000"/>
        </w:rPr>
        <w:t xml:space="preserve"> </w:t>
      </w:r>
      <w:r w:rsidRPr="001348FA">
        <w:rPr>
          <w:rFonts w:asciiTheme="minorHAnsi" w:eastAsia="Arial" w:hAnsiTheme="minorHAnsi" w:cs="Arial"/>
          <w:bCs/>
          <w:color w:val="000000"/>
        </w:rPr>
        <w:t>werden, unterliegen während ihrer Tätigkeit in Deutschland weiterhin dem Recht der sozialen</w:t>
      </w:r>
      <w:r>
        <w:rPr>
          <w:rFonts w:asciiTheme="minorHAnsi" w:eastAsia="Arial" w:hAnsiTheme="minorHAnsi" w:cs="Arial"/>
          <w:bCs/>
          <w:color w:val="000000"/>
        </w:rPr>
        <w:t xml:space="preserve"> Sicherheit des Entsendestaates</w:t>
      </w:r>
    </w:p>
    <w:p w:rsidR="001652B4" w:rsidRDefault="001348FA" w:rsidP="001652B4">
      <w:pPr>
        <w:pStyle w:val="Listenabsatz"/>
        <w:numPr>
          <w:ilvl w:val="1"/>
          <w:numId w:val="17"/>
        </w:numPr>
        <w:rPr>
          <w:rFonts w:asciiTheme="minorHAnsi" w:eastAsia="Arial" w:hAnsiTheme="minorHAnsi" w:cs="Arial"/>
          <w:bCs/>
          <w:color w:val="000000"/>
        </w:rPr>
      </w:pPr>
      <w:r w:rsidRPr="001348FA">
        <w:rPr>
          <w:rFonts w:asciiTheme="minorHAnsi" w:eastAsia="Arial" w:hAnsiTheme="minorHAnsi" w:cs="Arial"/>
          <w:bCs/>
          <w:color w:val="000000"/>
        </w:rPr>
        <w:lastRenderedPageBreak/>
        <w:t>Auch in Deutschland (meist: vorübergehend) beschäftigte Personen, für die nicht das</w:t>
      </w:r>
      <w:r>
        <w:rPr>
          <w:rFonts w:asciiTheme="minorHAnsi" w:eastAsia="Arial" w:hAnsiTheme="minorHAnsi" w:cs="Arial"/>
          <w:bCs/>
          <w:color w:val="000000"/>
        </w:rPr>
        <w:t xml:space="preserve"> </w:t>
      </w:r>
      <w:r w:rsidRPr="001348FA">
        <w:rPr>
          <w:rFonts w:asciiTheme="minorHAnsi" w:eastAsia="Arial" w:hAnsiTheme="minorHAnsi" w:cs="Arial"/>
          <w:bCs/>
          <w:color w:val="000000"/>
        </w:rPr>
        <w:t>deutsche Recht der sozialen Sicherheit gilt, können einen Anspruch auf Sachleistungen</w:t>
      </w:r>
      <w:r>
        <w:rPr>
          <w:rFonts w:asciiTheme="minorHAnsi" w:eastAsia="Arial" w:hAnsiTheme="minorHAnsi" w:cs="Arial"/>
          <w:bCs/>
          <w:color w:val="000000"/>
        </w:rPr>
        <w:t xml:space="preserve"> </w:t>
      </w:r>
      <w:r w:rsidRPr="001348FA">
        <w:rPr>
          <w:rFonts w:asciiTheme="minorHAnsi" w:eastAsia="Arial" w:hAnsiTheme="minorHAnsi" w:cs="Arial"/>
          <w:bCs/>
          <w:color w:val="000000"/>
        </w:rPr>
        <w:t>der deutschen gesetz</w:t>
      </w:r>
      <w:r>
        <w:rPr>
          <w:rFonts w:asciiTheme="minorHAnsi" w:eastAsia="Arial" w:hAnsiTheme="minorHAnsi" w:cs="Arial"/>
          <w:bCs/>
          <w:color w:val="000000"/>
        </w:rPr>
        <w:t xml:space="preserve">lichen Unfallversicherung haben </w:t>
      </w:r>
    </w:p>
    <w:p w:rsidR="001348FA" w:rsidRDefault="001348FA" w:rsidP="001652B4">
      <w:pPr>
        <w:pStyle w:val="Listenabsatz"/>
        <w:numPr>
          <w:ilvl w:val="2"/>
          <w:numId w:val="17"/>
        </w:numPr>
        <w:rPr>
          <w:rFonts w:asciiTheme="minorHAnsi" w:eastAsia="Arial" w:hAnsiTheme="minorHAnsi" w:cs="Arial"/>
          <w:bCs/>
          <w:color w:val="000000"/>
        </w:rPr>
      </w:pPr>
      <w:r w:rsidRPr="001348FA">
        <w:rPr>
          <w:rFonts w:asciiTheme="minorHAnsi" w:eastAsia="Arial" w:hAnsiTheme="minorHAnsi" w:cs="Arial"/>
          <w:bCs/>
          <w:color w:val="000000"/>
        </w:rPr>
        <w:t>So haben Personen, die während</w:t>
      </w:r>
      <w:r w:rsidR="001652B4">
        <w:rPr>
          <w:rFonts w:asciiTheme="minorHAnsi" w:eastAsia="Arial" w:hAnsiTheme="minorHAnsi" w:cs="Arial"/>
          <w:bCs/>
          <w:color w:val="000000"/>
        </w:rPr>
        <w:t xml:space="preserve"> </w:t>
      </w:r>
      <w:r w:rsidRPr="001652B4">
        <w:rPr>
          <w:rFonts w:asciiTheme="minorHAnsi" w:eastAsia="Arial" w:hAnsiTheme="minorHAnsi" w:cs="Arial"/>
          <w:bCs/>
          <w:color w:val="000000"/>
        </w:rPr>
        <w:t>ihrer Tätigkeit in Deutschland in einem Mitgliedstaat der EU, des EWR, der Schweiz oder</w:t>
      </w:r>
      <w:r w:rsidR="001652B4">
        <w:rPr>
          <w:rFonts w:asciiTheme="minorHAnsi" w:eastAsia="Arial" w:hAnsiTheme="minorHAnsi" w:cs="Arial"/>
          <w:bCs/>
          <w:color w:val="000000"/>
        </w:rPr>
        <w:t xml:space="preserve"> </w:t>
      </w:r>
      <w:r w:rsidRPr="001652B4">
        <w:rPr>
          <w:rFonts w:asciiTheme="minorHAnsi" w:eastAsia="Arial" w:hAnsiTheme="minorHAnsi" w:cs="Arial"/>
          <w:bCs/>
          <w:color w:val="000000"/>
        </w:rPr>
        <w:t>dem Vereinigten Königreich unfallversichert sind und bei denen nach dem Recht des zuständigen</w:t>
      </w:r>
      <w:r w:rsidR="001652B4">
        <w:rPr>
          <w:rFonts w:asciiTheme="minorHAnsi" w:eastAsia="Arial" w:hAnsiTheme="minorHAnsi" w:cs="Arial"/>
          <w:bCs/>
          <w:color w:val="000000"/>
        </w:rPr>
        <w:t xml:space="preserve"> </w:t>
      </w:r>
      <w:r w:rsidRPr="001652B4">
        <w:rPr>
          <w:rFonts w:asciiTheme="minorHAnsi" w:eastAsia="Arial" w:hAnsiTheme="minorHAnsi" w:cs="Arial"/>
          <w:bCs/>
          <w:color w:val="000000"/>
        </w:rPr>
        <w:t>Staates das Vorliegen eines Arbeitsunfalls oder einer Berufskrankheit bestätigt</w:t>
      </w:r>
      <w:r w:rsidR="001652B4">
        <w:rPr>
          <w:rFonts w:asciiTheme="minorHAnsi" w:eastAsia="Arial" w:hAnsiTheme="minorHAnsi" w:cs="Arial"/>
          <w:bCs/>
          <w:color w:val="000000"/>
        </w:rPr>
        <w:t xml:space="preserve"> </w:t>
      </w:r>
      <w:r w:rsidRPr="001652B4">
        <w:rPr>
          <w:rFonts w:asciiTheme="minorHAnsi" w:eastAsia="Arial" w:hAnsiTheme="minorHAnsi" w:cs="Arial"/>
          <w:bCs/>
          <w:color w:val="000000"/>
        </w:rPr>
        <w:t>ist, im Rahmen der sogenannten Sachleistungsaushilfe den gleichen (Sach-)Leistungsanspruch</w:t>
      </w:r>
      <w:r w:rsidR="001652B4">
        <w:rPr>
          <w:rFonts w:asciiTheme="minorHAnsi" w:eastAsia="Arial" w:hAnsiTheme="minorHAnsi" w:cs="Arial"/>
          <w:bCs/>
          <w:color w:val="000000"/>
        </w:rPr>
        <w:t xml:space="preserve"> </w:t>
      </w:r>
      <w:r w:rsidRPr="001652B4">
        <w:rPr>
          <w:rFonts w:asciiTheme="minorHAnsi" w:eastAsia="Arial" w:hAnsiTheme="minorHAnsi" w:cs="Arial"/>
          <w:bCs/>
          <w:color w:val="000000"/>
        </w:rPr>
        <w:t>gegenüber der deutschen gesetzlichen Unfallversicherung als ob sie in Deutschland</w:t>
      </w:r>
      <w:r w:rsidR="001652B4">
        <w:rPr>
          <w:rFonts w:asciiTheme="minorHAnsi" w:eastAsia="Arial" w:hAnsiTheme="minorHAnsi" w:cs="Arial"/>
          <w:bCs/>
          <w:color w:val="000000"/>
        </w:rPr>
        <w:t xml:space="preserve"> selbst versichert wären</w:t>
      </w:r>
    </w:p>
    <w:p w:rsidR="001652B4" w:rsidRDefault="001652B4" w:rsidP="001652B4">
      <w:pPr>
        <w:pStyle w:val="Listenabsatz"/>
        <w:numPr>
          <w:ilvl w:val="2"/>
          <w:numId w:val="17"/>
        </w:numPr>
        <w:rPr>
          <w:rFonts w:asciiTheme="minorHAnsi" w:eastAsia="Arial" w:hAnsiTheme="minorHAnsi" w:cs="Arial"/>
          <w:bCs/>
          <w:color w:val="000000"/>
        </w:rPr>
      </w:pPr>
      <w:r w:rsidRPr="001652B4">
        <w:rPr>
          <w:rFonts w:asciiTheme="minorHAnsi" w:eastAsia="Arial" w:hAnsiTheme="minorHAnsi" w:cs="Arial"/>
          <w:bCs/>
          <w:color w:val="000000"/>
        </w:rPr>
        <w:t>Das Prinzip der Sachleistungsaushilfe ist auch in einigen bilateralen</w:t>
      </w:r>
      <w:r>
        <w:rPr>
          <w:rFonts w:asciiTheme="minorHAnsi" w:eastAsia="Arial" w:hAnsiTheme="minorHAnsi" w:cs="Arial"/>
          <w:bCs/>
          <w:color w:val="000000"/>
        </w:rPr>
        <w:t xml:space="preserve"> </w:t>
      </w:r>
      <w:r w:rsidRPr="001652B4">
        <w:rPr>
          <w:rFonts w:asciiTheme="minorHAnsi" w:eastAsia="Arial" w:hAnsiTheme="minorHAnsi" w:cs="Arial"/>
          <w:bCs/>
          <w:color w:val="000000"/>
        </w:rPr>
        <w:t>Sozialversich</w:t>
      </w:r>
      <w:r>
        <w:rPr>
          <w:rFonts w:asciiTheme="minorHAnsi" w:eastAsia="Arial" w:hAnsiTheme="minorHAnsi" w:cs="Arial"/>
          <w:bCs/>
          <w:color w:val="000000"/>
        </w:rPr>
        <w:t>erungsabkommen festgehalten</w:t>
      </w:r>
    </w:p>
    <w:p w:rsidR="001652B4" w:rsidRDefault="001652B4" w:rsidP="001652B4">
      <w:pPr>
        <w:pStyle w:val="Listenabsatz"/>
        <w:numPr>
          <w:ilvl w:val="2"/>
          <w:numId w:val="17"/>
        </w:numPr>
        <w:rPr>
          <w:rFonts w:asciiTheme="minorHAnsi" w:eastAsia="Arial" w:hAnsiTheme="minorHAnsi" w:cs="Arial"/>
          <w:bCs/>
          <w:color w:val="000000"/>
        </w:rPr>
      </w:pPr>
      <w:r w:rsidRPr="001652B4">
        <w:rPr>
          <w:rFonts w:asciiTheme="minorHAnsi" w:eastAsia="Arial" w:hAnsiTheme="minorHAnsi" w:cs="Arial"/>
          <w:bCs/>
          <w:color w:val="000000"/>
        </w:rPr>
        <w:t>Im Verhältnis zum vertragslosen</w:t>
      </w:r>
      <w:r>
        <w:rPr>
          <w:rFonts w:asciiTheme="minorHAnsi" w:eastAsia="Arial" w:hAnsiTheme="minorHAnsi" w:cs="Arial"/>
          <w:bCs/>
          <w:color w:val="000000"/>
        </w:rPr>
        <w:t xml:space="preserve"> </w:t>
      </w:r>
      <w:r w:rsidRPr="001652B4">
        <w:rPr>
          <w:rFonts w:asciiTheme="minorHAnsi" w:eastAsia="Arial" w:hAnsiTheme="minorHAnsi" w:cs="Arial"/>
          <w:bCs/>
          <w:color w:val="000000"/>
        </w:rPr>
        <w:t>Ausland (z.B. Georgien und der Ukraine) gibt es das Prinzip der Sachleistungsaushilfe</w:t>
      </w:r>
      <w:r>
        <w:rPr>
          <w:rFonts w:asciiTheme="minorHAnsi" w:eastAsia="Arial" w:hAnsiTheme="minorHAnsi" w:cs="Arial"/>
          <w:bCs/>
          <w:color w:val="000000"/>
        </w:rPr>
        <w:t xml:space="preserve"> </w:t>
      </w:r>
      <w:r w:rsidRPr="001652B4">
        <w:rPr>
          <w:rFonts w:asciiTheme="minorHAnsi" w:eastAsia="Arial" w:hAnsiTheme="minorHAnsi" w:cs="Arial"/>
          <w:bCs/>
          <w:color w:val="000000"/>
        </w:rPr>
        <w:t>nicht.</w:t>
      </w:r>
    </w:p>
    <w:p w:rsidR="001652B4" w:rsidRDefault="001652B4" w:rsidP="001652B4">
      <w:pPr>
        <w:pStyle w:val="Listenabsatz"/>
        <w:numPr>
          <w:ilvl w:val="1"/>
          <w:numId w:val="17"/>
        </w:numPr>
        <w:rPr>
          <w:rFonts w:asciiTheme="minorHAnsi" w:eastAsia="Arial" w:hAnsiTheme="minorHAnsi" w:cs="Arial"/>
          <w:bCs/>
          <w:color w:val="000000"/>
        </w:rPr>
      </w:pPr>
      <w:r>
        <w:rPr>
          <w:rFonts w:asciiTheme="minorHAnsi" w:eastAsia="Arial" w:hAnsiTheme="minorHAnsi" w:cs="Arial"/>
          <w:bCs/>
          <w:color w:val="000000"/>
        </w:rPr>
        <w:t xml:space="preserve">Es liegen der Bundesregierung keine Angabe dazu vor, wie </w:t>
      </w:r>
      <w:r w:rsidRPr="001652B4">
        <w:rPr>
          <w:rFonts w:asciiTheme="minorHAnsi" w:eastAsia="Arial" w:hAnsiTheme="minorHAnsi" w:cs="Arial"/>
          <w:bCs/>
          <w:color w:val="000000"/>
        </w:rPr>
        <w:t>viele Beschäftigt</w:t>
      </w:r>
      <w:r>
        <w:rPr>
          <w:rFonts w:asciiTheme="minorHAnsi" w:eastAsia="Arial" w:hAnsiTheme="minorHAnsi" w:cs="Arial"/>
          <w:bCs/>
          <w:color w:val="000000"/>
        </w:rPr>
        <w:t xml:space="preserve">e, die in Deutschland arbeiten </w:t>
      </w:r>
      <w:r w:rsidRPr="001652B4">
        <w:rPr>
          <w:rFonts w:asciiTheme="minorHAnsi" w:eastAsia="Arial" w:hAnsiTheme="minorHAnsi" w:cs="Arial"/>
          <w:bCs/>
          <w:color w:val="000000"/>
        </w:rPr>
        <w:t>keinen</w:t>
      </w:r>
      <w:r w:rsidR="006A1CB0">
        <w:rPr>
          <w:rFonts w:asciiTheme="minorHAnsi" w:eastAsia="Arial" w:hAnsiTheme="minorHAnsi" w:cs="Arial"/>
          <w:bCs/>
          <w:color w:val="000000"/>
        </w:rPr>
        <w:t xml:space="preserve"> </w:t>
      </w:r>
      <w:r w:rsidRPr="001652B4">
        <w:rPr>
          <w:rFonts w:asciiTheme="minorHAnsi" w:eastAsia="Arial" w:hAnsiTheme="minorHAnsi" w:cs="Arial"/>
          <w:bCs/>
          <w:color w:val="000000"/>
        </w:rPr>
        <w:t>vollen Unfallversicherungsschutz</w:t>
      </w:r>
      <w:r>
        <w:rPr>
          <w:rFonts w:asciiTheme="minorHAnsi" w:eastAsia="Arial" w:hAnsiTheme="minorHAnsi" w:cs="Arial"/>
          <w:bCs/>
          <w:color w:val="000000"/>
        </w:rPr>
        <w:t xml:space="preserve"> haben</w:t>
      </w:r>
      <w:r w:rsidR="00A94592">
        <w:rPr>
          <w:rFonts w:asciiTheme="minorHAnsi" w:eastAsia="Arial" w:hAnsiTheme="minorHAnsi" w:cs="Arial"/>
          <w:bCs/>
          <w:color w:val="000000"/>
        </w:rPr>
        <w:t xml:space="preserve"> (s. Frage 8a).</w:t>
      </w:r>
    </w:p>
    <w:p w:rsidR="00A94592" w:rsidRPr="00A94592" w:rsidRDefault="00A94592" w:rsidP="00A94592">
      <w:pPr>
        <w:pStyle w:val="Listenabsatz"/>
        <w:numPr>
          <w:ilvl w:val="1"/>
          <w:numId w:val="17"/>
        </w:numPr>
        <w:rPr>
          <w:rFonts w:asciiTheme="minorHAnsi" w:eastAsia="Arial" w:hAnsiTheme="minorHAnsi" w:cs="Arial"/>
          <w:bCs/>
          <w:color w:val="000000"/>
        </w:rPr>
      </w:pPr>
      <w:r w:rsidRPr="00A94592">
        <w:rPr>
          <w:rFonts w:asciiTheme="minorHAnsi" w:eastAsia="Arial" w:hAnsiTheme="minorHAnsi" w:cs="Arial"/>
          <w:b/>
          <w:bCs/>
          <w:color w:val="000000"/>
        </w:rPr>
        <w:t>Sachleistungsaushilfe</w:t>
      </w:r>
      <w:r w:rsidRPr="00A94592">
        <w:rPr>
          <w:rFonts w:asciiTheme="minorHAnsi" w:eastAsia="Arial" w:hAnsiTheme="minorHAnsi" w:cs="Arial"/>
          <w:bCs/>
          <w:color w:val="000000"/>
        </w:rPr>
        <w:t xml:space="preserve"> für Träger im vert</w:t>
      </w:r>
      <w:r>
        <w:rPr>
          <w:rFonts w:asciiTheme="minorHAnsi" w:eastAsia="Arial" w:hAnsiTheme="minorHAnsi" w:cs="Arial"/>
          <w:bCs/>
          <w:color w:val="000000"/>
        </w:rPr>
        <w:t xml:space="preserve">ragslosen Ausland erfolgt nicht (s. Frage 8 b): </w:t>
      </w:r>
    </w:p>
    <w:p w:rsidR="001652B4" w:rsidRDefault="001652B4" w:rsidP="00A94592">
      <w:pPr>
        <w:pStyle w:val="Listenabsatz"/>
        <w:numPr>
          <w:ilvl w:val="2"/>
          <w:numId w:val="17"/>
        </w:numPr>
        <w:rPr>
          <w:rFonts w:asciiTheme="minorHAnsi" w:eastAsia="Arial" w:hAnsiTheme="minorHAnsi" w:cs="Arial"/>
          <w:bCs/>
          <w:color w:val="000000"/>
        </w:rPr>
      </w:pPr>
      <w:r w:rsidRPr="001652B4">
        <w:rPr>
          <w:rFonts w:asciiTheme="minorHAnsi" w:eastAsia="Arial" w:hAnsiTheme="minorHAnsi" w:cs="Arial"/>
          <w:bCs/>
          <w:color w:val="000000"/>
        </w:rPr>
        <w:t>Beschäftigte, die in Deutschland arbeiten, aber nach dem Recht eines anderen Staates der</w:t>
      </w:r>
      <w:r>
        <w:rPr>
          <w:rFonts w:asciiTheme="minorHAnsi" w:eastAsia="Arial" w:hAnsiTheme="minorHAnsi" w:cs="Arial"/>
          <w:bCs/>
          <w:color w:val="000000"/>
        </w:rPr>
        <w:t xml:space="preserve"> </w:t>
      </w:r>
      <w:r w:rsidRPr="001652B4">
        <w:rPr>
          <w:rFonts w:asciiTheme="minorHAnsi" w:eastAsia="Arial" w:hAnsiTheme="minorHAnsi" w:cs="Arial"/>
          <w:bCs/>
          <w:color w:val="000000"/>
        </w:rPr>
        <w:t xml:space="preserve">EU, des EWR, der Schweiz, des Vereinigten Königreichs oder eines </w:t>
      </w:r>
      <w:proofErr w:type="spellStart"/>
      <w:r w:rsidRPr="001652B4">
        <w:rPr>
          <w:rFonts w:asciiTheme="minorHAnsi" w:eastAsia="Arial" w:hAnsiTheme="minorHAnsi" w:cs="Arial"/>
          <w:bCs/>
          <w:color w:val="000000"/>
        </w:rPr>
        <w:t>Abkommensstaates</w:t>
      </w:r>
      <w:proofErr w:type="spellEnd"/>
      <w:r>
        <w:rPr>
          <w:rFonts w:asciiTheme="minorHAnsi" w:eastAsia="Arial" w:hAnsiTheme="minorHAnsi" w:cs="Arial"/>
          <w:bCs/>
          <w:color w:val="000000"/>
        </w:rPr>
        <w:t xml:space="preserve"> </w:t>
      </w:r>
      <w:r w:rsidRPr="001652B4">
        <w:rPr>
          <w:rFonts w:asciiTheme="minorHAnsi" w:eastAsia="Arial" w:hAnsiTheme="minorHAnsi" w:cs="Arial"/>
          <w:bCs/>
          <w:color w:val="000000"/>
        </w:rPr>
        <w:t>unfallversichert sind, mit dem eine Sachleistungsaushilfe vereinbart wurde, haben die gleichen</w:t>
      </w:r>
      <w:r>
        <w:rPr>
          <w:rFonts w:asciiTheme="minorHAnsi" w:eastAsia="Arial" w:hAnsiTheme="minorHAnsi" w:cs="Arial"/>
          <w:bCs/>
          <w:color w:val="000000"/>
        </w:rPr>
        <w:t xml:space="preserve"> </w:t>
      </w:r>
      <w:r w:rsidRPr="001652B4">
        <w:rPr>
          <w:rFonts w:asciiTheme="minorHAnsi" w:eastAsia="Arial" w:hAnsiTheme="minorHAnsi" w:cs="Arial"/>
          <w:bCs/>
          <w:color w:val="000000"/>
        </w:rPr>
        <w:t>Sachleistungsansprüche wie in Deutschland unfallversicherte Personen, soweit der</w:t>
      </w:r>
      <w:r>
        <w:rPr>
          <w:rFonts w:asciiTheme="minorHAnsi" w:eastAsia="Arial" w:hAnsiTheme="minorHAnsi" w:cs="Arial"/>
          <w:bCs/>
          <w:color w:val="000000"/>
        </w:rPr>
        <w:t xml:space="preserve"> </w:t>
      </w:r>
      <w:r w:rsidRPr="001652B4">
        <w:rPr>
          <w:rFonts w:asciiTheme="minorHAnsi" w:eastAsia="Arial" w:hAnsiTheme="minorHAnsi" w:cs="Arial"/>
          <w:bCs/>
          <w:color w:val="000000"/>
        </w:rPr>
        <w:t>zuständige Staat (bzw. der dort zuständige Träger) das Vorliegen eines Arbeitsunfalls oder</w:t>
      </w:r>
      <w:r>
        <w:rPr>
          <w:rFonts w:asciiTheme="minorHAnsi" w:eastAsia="Arial" w:hAnsiTheme="minorHAnsi" w:cs="Arial"/>
          <w:bCs/>
          <w:color w:val="000000"/>
        </w:rPr>
        <w:t xml:space="preserve"> </w:t>
      </w:r>
      <w:r w:rsidRPr="001652B4">
        <w:rPr>
          <w:rFonts w:asciiTheme="minorHAnsi" w:eastAsia="Arial" w:hAnsiTheme="minorHAnsi" w:cs="Arial"/>
          <w:bCs/>
          <w:color w:val="000000"/>
        </w:rPr>
        <w:t>einer Berufskrankheit im kon</w:t>
      </w:r>
      <w:r>
        <w:rPr>
          <w:rFonts w:asciiTheme="minorHAnsi" w:eastAsia="Arial" w:hAnsiTheme="minorHAnsi" w:cs="Arial"/>
          <w:bCs/>
          <w:color w:val="000000"/>
        </w:rPr>
        <w:t>kreten Fall anerkannt hat</w:t>
      </w:r>
    </w:p>
    <w:p w:rsidR="001652B4" w:rsidRDefault="001652B4" w:rsidP="001652B4">
      <w:pPr>
        <w:pStyle w:val="Listenabsatz"/>
        <w:numPr>
          <w:ilvl w:val="2"/>
          <w:numId w:val="17"/>
        </w:numPr>
        <w:rPr>
          <w:rFonts w:asciiTheme="minorHAnsi" w:eastAsia="Arial" w:hAnsiTheme="minorHAnsi" w:cs="Arial"/>
          <w:bCs/>
          <w:color w:val="000000"/>
        </w:rPr>
      </w:pPr>
      <w:r w:rsidRPr="001652B4">
        <w:rPr>
          <w:rFonts w:asciiTheme="minorHAnsi" w:eastAsia="Arial" w:hAnsiTheme="minorHAnsi" w:cs="Arial"/>
          <w:bCs/>
          <w:color w:val="000000"/>
        </w:rPr>
        <w:t>Zu beachten ist hier, dass es keine</w:t>
      </w:r>
      <w:r>
        <w:rPr>
          <w:rFonts w:asciiTheme="minorHAnsi" w:eastAsia="Arial" w:hAnsiTheme="minorHAnsi" w:cs="Arial"/>
          <w:bCs/>
          <w:color w:val="000000"/>
        </w:rPr>
        <w:t xml:space="preserve"> </w:t>
      </w:r>
      <w:r w:rsidRPr="001652B4">
        <w:rPr>
          <w:rFonts w:asciiTheme="minorHAnsi" w:eastAsia="Arial" w:hAnsiTheme="minorHAnsi" w:cs="Arial"/>
          <w:bCs/>
          <w:color w:val="000000"/>
        </w:rPr>
        <w:t>allgemeingültige internationale Definition eines Arbeitsunfalls oder einer Berufskrankheit</w:t>
      </w:r>
      <w:r>
        <w:rPr>
          <w:rFonts w:asciiTheme="minorHAnsi" w:eastAsia="Arial" w:hAnsiTheme="minorHAnsi" w:cs="Arial"/>
          <w:bCs/>
          <w:color w:val="000000"/>
        </w:rPr>
        <w:t xml:space="preserve"> </w:t>
      </w:r>
      <w:r w:rsidRPr="001652B4">
        <w:rPr>
          <w:rFonts w:asciiTheme="minorHAnsi" w:eastAsia="Arial" w:hAnsiTheme="minorHAnsi" w:cs="Arial"/>
          <w:bCs/>
          <w:color w:val="000000"/>
        </w:rPr>
        <w:t>gibt, Wegeunfälle s</w:t>
      </w:r>
      <w:r>
        <w:rPr>
          <w:rFonts w:asciiTheme="minorHAnsi" w:eastAsia="Arial" w:hAnsiTheme="minorHAnsi" w:cs="Arial"/>
          <w:bCs/>
          <w:color w:val="000000"/>
        </w:rPr>
        <w:t>ind z.B. nicht immer miterfasst</w:t>
      </w:r>
    </w:p>
    <w:p w:rsidR="001652B4" w:rsidRDefault="001652B4" w:rsidP="001652B4">
      <w:pPr>
        <w:pStyle w:val="Listenabsatz"/>
        <w:numPr>
          <w:ilvl w:val="2"/>
          <w:numId w:val="17"/>
        </w:numPr>
        <w:rPr>
          <w:rFonts w:asciiTheme="minorHAnsi" w:eastAsia="Arial" w:hAnsiTheme="minorHAnsi" w:cs="Arial"/>
          <w:bCs/>
          <w:color w:val="000000"/>
        </w:rPr>
      </w:pPr>
      <w:r w:rsidRPr="001652B4">
        <w:rPr>
          <w:rFonts w:asciiTheme="minorHAnsi" w:eastAsia="Arial" w:hAnsiTheme="minorHAnsi" w:cs="Arial"/>
          <w:bCs/>
          <w:color w:val="000000"/>
        </w:rPr>
        <w:t>Geldleistungen sind grundsätzlich immer</w:t>
      </w:r>
      <w:r>
        <w:rPr>
          <w:rFonts w:asciiTheme="minorHAnsi" w:eastAsia="Arial" w:hAnsiTheme="minorHAnsi" w:cs="Arial"/>
          <w:bCs/>
          <w:color w:val="000000"/>
        </w:rPr>
        <w:t xml:space="preserve"> </w:t>
      </w:r>
      <w:r w:rsidRPr="001652B4">
        <w:rPr>
          <w:rFonts w:asciiTheme="minorHAnsi" w:eastAsia="Arial" w:hAnsiTheme="minorHAnsi" w:cs="Arial"/>
          <w:bCs/>
          <w:color w:val="000000"/>
        </w:rPr>
        <w:t>durch den zuständigen au</w:t>
      </w:r>
      <w:r>
        <w:rPr>
          <w:rFonts w:asciiTheme="minorHAnsi" w:eastAsia="Arial" w:hAnsiTheme="minorHAnsi" w:cs="Arial"/>
          <w:bCs/>
          <w:color w:val="000000"/>
        </w:rPr>
        <w:t>sländischen Träger zu erbringen</w:t>
      </w:r>
    </w:p>
    <w:p w:rsidR="00A94592" w:rsidRDefault="00A94592" w:rsidP="00A94592">
      <w:pPr>
        <w:pStyle w:val="Listenabsatz"/>
        <w:numPr>
          <w:ilvl w:val="1"/>
          <w:numId w:val="17"/>
        </w:numPr>
        <w:rPr>
          <w:rFonts w:asciiTheme="minorHAnsi" w:eastAsia="Arial" w:hAnsiTheme="minorHAnsi" w:cs="Arial"/>
          <w:bCs/>
          <w:color w:val="000000"/>
        </w:rPr>
      </w:pPr>
      <w:r w:rsidRPr="00A94592">
        <w:rPr>
          <w:rFonts w:asciiTheme="minorHAnsi" w:eastAsia="Arial" w:hAnsiTheme="minorHAnsi" w:cs="Arial"/>
          <w:b/>
          <w:bCs/>
          <w:color w:val="000000"/>
        </w:rPr>
        <w:t>Der sog. „Kleine Versicherungsfall“</w:t>
      </w:r>
      <w:r w:rsidRPr="00A94592">
        <w:rPr>
          <w:rFonts w:asciiTheme="minorHAnsi" w:eastAsia="Arial" w:hAnsiTheme="minorHAnsi" w:cs="Arial"/>
          <w:bCs/>
          <w:color w:val="000000"/>
        </w:rPr>
        <w:t xml:space="preserve"> ist dadurch gekennzeichnet, dass bei einer beruflich</w:t>
      </w:r>
      <w:r>
        <w:rPr>
          <w:rFonts w:asciiTheme="minorHAnsi" w:eastAsia="Arial" w:hAnsiTheme="minorHAnsi" w:cs="Arial"/>
          <w:bCs/>
          <w:color w:val="000000"/>
        </w:rPr>
        <w:t xml:space="preserve"> </w:t>
      </w:r>
      <w:r w:rsidRPr="00A94592">
        <w:rPr>
          <w:rFonts w:asciiTheme="minorHAnsi" w:eastAsia="Arial" w:hAnsiTheme="minorHAnsi" w:cs="Arial"/>
          <w:bCs/>
          <w:color w:val="000000"/>
        </w:rPr>
        <w:t>verursachten Erkrankung die Voraussetzungen einer Berufskrankheit (noch) nicht vorliegen,</w:t>
      </w:r>
      <w:r>
        <w:rPr>
          <w:rFonts w:asciiTheme="minorHAnsi" w:eastAsia="Arial" w:hAnsiTheme="minorHAnsi" w:cs="Arial"/>
          <w:bCs/>
          <w:color w:val="000000"/>
        </w:rPr>
        <w:t xml:space="preserve"> </w:t>
      </w:r>
      <w:r w:rsidRPr="00A94592">
        <w:rPr>
          <w:rFonts w:asciiTheme="minorHAnsi" w:eastAsia="Arial" w:hAnsiTheme="minorHAnsi" w:cs="Arial"/>
          <w:bCs/>
          <w:color w:val="000000"/>
        </w:rPr>
        <w:t xml:space="preserve">aber individualpräventive Leistungen nach § 3 Abs. 1 </w:t>
      </w:r>
      <w:proofErr w:type="spellStart"/>
      <w:r w:rsidRPr="00A94592">
        <w:rPr>
          <w:rFonts w:asciiTheme="minorHAnsi" w:eastAsia="Arial" w:hAnsiTheme="minorHAnsi" w:cs="Arial"/>
          <w:bCs/>
          <w:color w:val="000000"/>
        </w:rPr>
        <w:t>Berufskrankheitenverordnung</w:t>
      </w:r>
      <w:proofErr w:type="spellEnd"/>
      <w:r>
        <w:rPr>
          <w:rFonts w:asciiTheme="minorHAnsi" w:eastAsia="Arial" w:hAnsiTheme="minorHAnsi" w:cs="Arial"/>
          <w:bCs/>
          <w:color w:val="000000"/>
        </w:rPr>
        <w:t xml:space="preserve"> </w:t>
      </w:r>
      <w:r w:rsidRPr="00A94592">
        <w:rPr>
          <w:rFonts w:asciiTheme="minorHAnsi" w:eastAsia="Arial" w:hAnsiTheme="minorHAnsi" w:cs="Arial"/>
          <w:bCs/>
          <w:color w:val="000000"/>
        </w:rPr>
        <w:t>(BKV) erforderlich sind, um einer konkret-individuellen Gefahr der Entstehung einer Berufskrankheit</w:t>
      </w:r>
      <w:r>
        <w:rPr>
          <w:rFonts w:asciiTheme="minorHAnsi" w:eastAsia="Arial" w:hAnsiTheme="minorHAnsi" w:cs="Arial"/>
          <w:bCs/>
          <w:color w:val="000000"/>
        </w:rPr>
        <w:t xml:space="preserve"> entgegenzuwirken (s. Frage 9): </w:t>
      </w:r>
    </w:p>
    <w:p w:rsidR="00A94592" w:rsidRDefault="00A94592" w:rsidP="00A94592">
      <w:pPr>
        <w:pStyle w:val="Listenabsatz"/>
        <w:numPr>
          <w:ilvl w:val="2"/>
          <w:numId w:val="17"/>
        </w:numPr>
        <w:rPr>
          <w:rFonts w:asciiTheme="minorHAnsi" w:eastAsia="Arial" w:hAnsiTheme="minorHAnsi" w:cs="Arial"/>
          <w:bCs/>
          <w:color w:val="000000"/>
        </w:rPr>
      </w:pPr>
      <w:r w:rsidRPr="00A94592">
        <w:rPr>
          <w:rFonts w:asciiTheme="minorHAnsi" w:eastAsia="Arial" w:hAnsiTheme="minorHAnsi" w:cs="Arial"/>
          <w:bCs/>
          <w:color w:val="000000"/>
        </w:rPr>
        <w:t>In den Jahren 2010 bis 2019 wurden nach Auskunft der DGUV</w:t>
      </w:r>
      <w:r>
        <w:rPr>
          <w:rFonts w:asciiTheme="minorHAnsi" w:eastAsia="Arial" w:hAnsiTheme="minorHAnsi" w:cs="Arial"/>
          <w:bCs/>
          <w:color w:val="000000"/>
        </w:rPr>
        <w:t xml:space="preserve"> </w:t>
      </w:r>
      <w:r w:rsidRPr="00A94592">
        <w:rPr>
          <w:rFonts w:asciiTheme="minorHAnsi" w:eastAsia="Arial" w:hAnsiTheme="minorHAnsi" w:cs="Arial"/>
          <w:bCs/>
          <w:color w:val="000000"/>
        </w:rPr>
        <w:t>in insgesamt 189.774 Erkrankungsfällen die berufliche Verursachung festgestellt, ohne</w:t>
      </w:r>
      <w:r>
        <w:rPr>
          <w:rFonts w:asciiTheme="minorHAnsi" w:eastAsia="Arial" w:hAnsiTheme="minorHAnsi" w:cs="Arial"/>
          <w:bCs/>
          <w:color w:val="000000"/>
        </w:rPr>
        <w:t xml:space="preserve"> </w:t>
      </w:r>
      <w:r w:rsidRPr="00A94592">
        <w:rPr>
          <w:rFonts w:asciiTheme="minorHAnsi" w:eastAsia="Arial" w:hAnsiTheme="minorHAnsi" w:cs="Arial"/>
          <w:bCs/>
          <w:color w:val="000000"/>
        </w:rPr>
        <w:t>dass die versicherungsrechtlichen Voraus</w:t>
      </w:r>
      <w:r>
        <w:rPr>
          <w:rFonts w:asciiTheme="minorHAnsi" w:eastAsia="Arial" w:hAnsiTheme="minorHAnsi" w:cs="Arial"/>
          <w:bCs/>
          <w:color w:val="000000"/>
        </w:rPr>
        <w:t>setzungen bereits erfüllt waren</w:t>
      </w:r>
    </w:p>
    <w:p w:rsidR="00A94592" w:rsidRDefault="00A94592" w:rsidP="00A94592">
      <w:pPr>
        <w:pStyle w:val="Listenabsatz"/>
        <w:numPr>
          <w:ilvl w:val="2"/>
          <w:numId w:val="17"/>
        </w:numPr>
        <w:rPr>
          <w:rFonts w:asciiTheme="minorHAnsi" w:eastAsia="Arial" w:hAnsiTheme="minorHAnsi" w:cs="Arial"/>
          <w:bCs/>
          <w:color w:val="000000"/>
        </w:rPr>
      </w:pPr>
      <w:r w:rsidRPr="00A94592">
        <w:rPr>
          <w:rFonts w:asciiTheme="minorHAnsi" w:eastAsia="Arial" w:hAnsiTheme="minorHAnsi" w:cs="Arial"/>
          <w:bCs/>
          <w:color w:val="000000"/>
        </w:rPr>
        <w:t>Die Überprüfung getroffener Einzelfallentscheidungen durch die Unfallversicherungsträger</w:t>
      </w:r>
      <w:r>
        <w:rPr>
          <w:rFonts w:asciiTheme="minorHAnsi" w:eastAsia="Arial" w:hAnsiTheme="minorHAnsi" w:cs="Arial"/>
          <w:bCs/>
          <w:color w:val="000000"/>
        </w:rPr>
        <w:t xml:space="preserve"> </w:t>
      </w:r>
      <w:r w:rsidRPr="00A94592">
        <w:rPr>
          <w:rFonts w:asciiTheme="minorHAnsi" w:eastAsia="Arial" w:hAnsiTheme="minorHAnsi" w:cs="Arial"/>
          <w:bCs/>
          <w:color w:val="000000"/>
        </w:rPr>
        <w:t>ist im Sozialgerichtsgesetz (SGG), insbesondere in den §§ 78 ff SGG zum Widerspruchsverfahren</w:t>
      </w:r>
      <w:r>
        <w:rPr>
          <w:rFonts w:asciiTheme="minorHAnsi" w:eastAsia="Arial" w:hAnsiTheme="minorHAnsi" w:cs="Arial"/>
          <w:bCs/>
          <w:color w:val="000000"/>
        </w:rPr>
        <w:t xml:space="preserve"> </w:t>
      </w:r>
      <w:r w:rsidRPr="00A94592">
        <w:rPr>
          <w:rFonts w:asciiTheme="minorHAnsi" w:eastAsia="Arial" w:hAnsiTheme="minorHAnsi" w:cs="Arial"/>
          <w:bCs/>
          <w:color w:val="000000"/>
        </w:rPr>
        <w:t>und in den §§ 87 ff SGG zum Klageverfahren vo</w:t>
      </w:r>
      <w:r w:rsidR="00C91573">
        <w:rPr>
          <w:rFonts w:asciiTheme="minorHAnsi" w:eastAsia="Arial" w:hAnsiTheme="minorHAnsi" w:cs="Arial"/>
          <w:bCs/>
          <w:color w:val="000000"/>
        </w:rPr>
        <w:t xml:space="preserve">r den Sozialgerichten, geregelt </w:t>
      </w:r>
      <w:r>
        <w:rPr>
          <w:rFonts w:asciiTheme="minorHAnsi" w:eastAsia="Arial" w:hAnsiTheme="minorHAnsi" w:cs="Arial"/>
          <w:bCs/>
          <w:color w:val="000000"/>
        </w:rPr>
        <w:t>(s. Frage 9b)</w:t>
      </w:r>
    </w:p>
    <w:p w:rsidR="00A94592" w:rsidRPr="00A94592" w:rsidRDefault="00C91573" w:rsidP="00A94592">
      <w:pPr>
        <w:pStyle w:val="Listenabsatz"/>
        <w:numPr>
          <w:ilvl w:val="2"/>
          <w:numId w:val="17"/>
        </w:numPr>
        <w:rPr>
          <w:rFonts w:asciiTheme="minorHAnsi" w:eastAsia="Arial" w:hAnsiTheme="minorHAnsi" w:cs="Arial"/>
          <w:bCs/>
          <w:color w:val="000000"/>
        </w:rPr>
      </w:pPr>
      <w:r>
        <w:rPr>
          <w:rFonts w:asciiTheme="minorHAnsi" w:eastAsia="Arial" w:hAnsiTheme="minorHAnsi" w:cs="Arial"/>
          <w:bCs/>
          <w:color w:val="000000"/>
        </w:rPr>
        <w:t>Z</w:t>
      </w:r>
      <w:r w:rsidR="00A94592" w:rsidRPr="00A94592">
        <w:rPr>
          <w:rFonts w:asciiTheme="minorHAnsi" w:eastAsia="Arial" w:hAnsiTheme="minorHAnsi" w:cs="Arial"/>
          <w:bCs/>
          <w:color w:val="000000"/>
        </w:rPr>
        <w:t xml:space="preserve">umindest derzeit </w:t>
      </w:r>
      <w:r>
        <w:rPr>
          <w:rFonts w:asciiTheme="minorHAnsi" w:eastAsia="Arial" w:hAnsiTheme="minorHAnsi" w:cs="Arial"/>
          <w:bCs/>
          <w:color w:val="000000"/>
        </w:rPr>
        <w:t xml:space="preserve">gibt es </w:t>
      </w:r>
      <w:r w:rsidR="00A94592" w:rsidRPr="00A94592">
        <w:rPr>
          <w:rFonts w:asciiTheme="minorHAnsi" w:eastAsia="Arial" w:hAnsiTheme="minorHAnsi" w:cs="Arial"/>
          <w:bCs/>
          <w:color w:val="000000"/>
        </w:rPr>
        <w:t>im Zusammenhang mit COVID-19-Erkrankungen</w:t>
      </w:r>
      <w:r w:rsidR="00A94592">
        <w:rPr>
          <w:rFonts w:asciiTheme="minorHAnsi" w:eastAsia="Arial" w:hAnsiTheme="minorHAnsi" w:cs="Arial"/>
          <w:bCs/>
          <w:color w:val="000000"/>
        </w:rPr>
        <w:t xml:space="preserve"> </w:t>
      </w:r>
      <w:r w:rsidR="00A94592" w:rsidRPr="00A94592">
        <w:rPr>
          <w:rFonts w:asciiTheme="minorHAnsi" w:eastAsia="Arial" w:hAnsiTheme="minorHAnsi" w:cs="Arial"/>
          <w:bCs/>
          <w:color w:val="000000"/>
        </w:rPr>
        <w:t>auch keinen Ansatzpunkt für individualpräventive</w:t>
      </w:r>
      <w:r w:rsidR="00A94592">
        <w:rPr>
          <w:rFonts w:asciiTheme="minorHAnsi" w:eastAsia="Arial" w:hAnsiTheme="minorHAnsi" w:cs="Arial"/>
          <w:bCs/>
          <w:color w:val="000000"/>
        </w:rPr>
        <w:t xml:space="preserve"> Maßnahmen im Sinne des § 3 BKV (s. Frage 9c).</w:t>
      </w:r>
    </w:p>
    <w:p w:rsidR="0094217B" w:rsidRDefault="0094217B" w:rsidP="007F5854">
      <w:pPr>
        <w:spacing w:after="0" w:line="240" w:lineRule="auto"/>
        <w:jc w:val="both"/>
        <w:rPr>
          <w:rFonts w:asciiTheme="minorHAnsi" w:hAnsiTheme="minorHAnsi" w:cs="Arial"/>
          <w:b/>
          <w:u w:val="single"/>
        </w:rPr>
      </w:pPr>
    </w:p>
    <w:sectPr w:rsidR="0094217B" w:rsidSect="0064747A">
      <w:headerReference w:type="default"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11" w:rsidRDefault="00717411" w:rsidP="003D29BC">
      <w:pPr>
        <w:spacing w:after="0" w:line="240" w:lineRule="auto"/>
      </w:pPr>
      <w:r>
        <w:separator/>
      </w:r>
    </w:p>
  </w:endnote>
  <w:endnote w:type="continuationSeparator" w:id="0">
    <w:p w:rsidR="00717411" w:rsidRDefault="00717411" w:rsidP="003D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928896"/>
      <w:docPartObj>
        <w:docPartGallery w:val="Page Numbers (Bottom of Page)"/>
        <w:docPartUnique/>
      </w:docPartObj>
    </w:sdtPr>
    <w:sdtEndPr/>
    <w:sdtContent>
      <w:p w:rsidR="009579DF" w:rsidRDefault="009579DF">
        <w:pPr>
          <w:pStyle w:val="Fuzeile"/>
          <w:jc w:val="center"/>
        </w:pPr>
        <w:r>
          <w:fldChar w:fldCharType="begin"/>
        </w:r>
        <w:r>
          <w:instrText>PAGE   \* MERGEFORMAT</w:instrText>
        </w:r>
        <w:r>
          <w:fldChar w:fldCharType="separate"/>
        </w:r>
        <w:r w:rsidR="00BC4C19">
          <w:rPr>
            <w:noProof/>
          </w:rPr>
          <w:t>4</w:t>
        </w:r>
        <w:r>
          <w:fldChar w:fldCharType="end"/>
        </w:r>
      </w:p>
    </w:sdtContent>
  </w:sdt>
  <w:p w:rsidR="009579DF" w:rsidRDefault="009579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11" w:rsidRDefault="00717411" w:rsidP="003D29BC">
      <w:pPr>
        <w:spacing w:after="0" w:line="240" w:lineRule="auto"/>
      </w:pPr>
      <w:r>
        <w:separator/>
      </w:r>
    </w:p>
  </w:footnote>
  <w:footnote w:type="continuationSeparator" w:id="0">
    <w:p w:rsidR="00717411" w:rsidRDefault="00717411" w:rsidP="003D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9DF" w:rsidRPr="006D0E89" w:rsidRDefault="009579DF" w:rsidP="006D0E89">
    <w:pPr>
      <w:pStyle w:val="Kopfzeile"/>
      <w:jc w:val="right"/>
      <w:rPr>
        <w:color w:val="808080" w:themeColor="background1" w:themeShade="80"/>
      </w:rPr>
    </w:pPr>
    <w:r w:rsidRPr="00B74F50">
      <w:rPr>
        <w:color w:val="808080" w:themeColor="background1" w:themeShade="80"/>
      </w:rPr>
      <w:t>MdB-Büro J</w:t>
    </w:r>
    <w:r w:rsidR="00714884">
      <w:rPr>
        <w:color w:val="808080" w:themeColor="background1" w:themeShade="80"/>
      </w:rPr>
      <w:t>utta Krellmann (Hannes Strobel) Bearbeitungsstand 25.05</w:t>
    </w:r>
    <w:r>
      <w:rPr>
        <w:color w:val="808080" w:themeColor="background1" w:themeShade="80"/>
      </w:rPr>
      <w:t>.2021</w:t>
    </w:r>
    <w:r w:rsidRPr="00B74F50">
      <w:rPr>
        <w:color w:val="808080" w:themeColor="background1" w:themeShade="80"/>
      </w:rPr>
      <w:tab/>
    </w:r>
    <w:r w:rsidRPr="00B74F50">
      <w:rPr>
        <w:noProof/>
        <w:color w:val="808080" w:themeColor="background1" w:themeShade="80"/>
        <w:lang w:eastAsia="de-DE"/>
      </w:rPr>
      <w:drawing>
        <wp:inline distT="0" distB="0" distL="0" distR="0" wp14:anchorId="76826501" wp14:editId="0369D911">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370B"/>
    <w:multiLevelType w:val="hybridMultilevel"/>
    <w:tmpl w:val="334A24C0"/>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A50338"/>
    <w:multiLevelType w:val="hybridMultilevel"/>
    <w:tmpl w:val="8FBA7296"/>
    <w:lvl w:ilvl="0" w:tplc="9328F7D0">
      <w:start w:val="119"/>
      <w:numFmt w:val="bullet"/>
      <w:lvlText w:val=""/>
      <w:lvlJc w:val="left"/>
      <w:pPr>
        <w:ind w:left="1065" w:hanging="705"/>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B4E94"/>
    <w:multiLevelType w:val="hybridMultilevel"/>
    <w:tmpl w:val="AFD87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E049D0"/>
    <w:multiLevelType w:val="hybridMultilevel"/>
    <w:tmpl w:val="D8584C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B2180"/>
    <w:multiLevelType w:val="hybridMultilevel"/>
    <w:tmpl w:val="074C6A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F35F9A"/>
    <w:multiLevelType w:val="hybridMultilevel"/>
    <w:tmpl w:val="BBF4F05A"/>
    <w:lvl w:ilvl="0" w:tplc="04070003">
      <w:start w:val="1"/>
      <w:numFmt w:val="bullet"/>
      <w:lvlText w:val="o"/>
      <w:lvlJc w:val="left"/>
      <w:pPr>
        <w:ind w:left="2491" w:hanging="360"/>
      </w:pPr>
      <w:rPr>
        <w:rFonts w:ascii="Courier New" w:hAnsi="Courier New" w:cs="Courier New"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6" w15:restartNumberingAfterBreak="0">
    <w:nsid w:val="2DEF6514"/>
    <w:multiLevelType w:val="hybridMultilevel"/>
    <w:tmpl w:val="F73E98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20C87"/>
    <w:multiLevelType w:val="hybridMultilevel"/>
    <w:tmpl w:val="8DE88F72"/>
    <w:lvl w:ilvl="0" w:tplc="2000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8B5B50"/>
    <w:multiLevelType w:val="hybridMultilevel"/>
    <w:tmpl w:val="16AE7BC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F57E7"/>
    <w:multiLevelType w:val="hybridMultilevel"/>
    <w:tmpl w:val="747055A4"/>
    <w:lvl w:ilvl="0" w:tplc="04070001">
      <w:start w:val="1"/>
      <w:numFmt w:val="bullet"/>
      <w:lvlText w:val=""/>
      <w:lvlJc w:val="left"/>
      <w:pPr>
        <w:ind w:left="1068" w:hanging="360"/>
      </w:pPr>
      <w:rPr>
        <w:rFonts w:ascii="Symbol" w:hAnsi="Symbol" w:hint="default"/>
      </w:rPr>
    </w:lvl>
    <w:lvl w:ilvl="1" w:tplc="0407000F">
      <w:start w:val="1"/>
      <w:numFmt w:val="decimal"/>
      <w:lvlText w:val="%2."/>
      <w:lvlJc w:val="left"/>
      <w:pPr>
        <w:ind w:left="1788" w:hanging="360"/>
      </w:pPr>
      <w:rPr>
        <w:rFont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C2C7171"/>
    <w:multiLevelType w:val="hybridMultilevel"/>
    <w:tmpl w:val="993E6CF0"/>
    <w:lvl w:ilvl="0" w:tplc="2000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54087252"/>
    <w:multiLevelType w:val="hybridMultilevel"/>
    <w:tmpl w:val="E5A45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8E1FDA"/>
    <w:multiLevelType w:val="hybridMultilevel"/>
    <w:tmpl w:val="2D7E82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E00723"/>
    <w:multiLevelType w:val="hybridMultilevel"/>
    <w:tmpl w:val="075EE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8B70EE"/>
    <w:multiLevelType w:val="hybridMultilevel"/>
    <w:tmpl w:val="55C261A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4102BB"/>
    <w:multiLevelType w:val="hybridMultilevel"/>
    <w:tmpl w:val="CED8E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4B044B"/>
    <w:multiLevelType w:val="hybridMultilevel"/>
    <w:tmpl w:val="A3103A4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7CED64A2"/>
    <w:multiLevelType w:val="hybridMultilevel"/>
    <w:tmpl w:val="C7EA10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7"/>
  </w:num>
  <w:num w:numId="5">
    <w:abstractNumId w:val="17"/>
  </w:num>
  <w:num w:numId="6">
    <w:abstractNumId w:val="13"/>
  </w:num>
  <w:num w:numId="7">
    <w:abstractNumId w:val="15"/>
  </w:num>
  <w:num w:numId="8">
    <w:abstractNumId w:val="8"/>
  </w:num>
  <w:num w:numId="9">
    <w:abstractNumId w:val="14"/>
  </w:num>
  <w:num w:numId="10">
    <w:abstractNumId w:val="0"/>
  </w:num>
  <w:num w:numId="11">
    <w:abstractNumId w:val="9"/>
  </w:num>
  <w:num w:numId="12">
    <w:abstractNumId w:val="12"/>
  </w:num>
  <w:num w:numId="13">
    <w:abstractNumId w:val="11"/>
  </w:num>
  <w:num w:numId="14">
    <w:abstractNumId w:val="5"/>
  </w:num>
  <w:num w:numId="15">
    <w:abstractNumId w:val="2"/>
  </w:num>
  <w:num w:numId="16">
    <w:abstractNumId w:val="3"/>
  </w:num>
  <w:num w:numId="17">
    <w:abstractNumId w:val="6"/>
  </w:num>
  <w:num w:numId="1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tzAwNTY2MbQ0sDRV0lEKTi0uzszPAykwrQUAUy7A6iwAAAA="/>
  </w:docVars>
  <w:rsids>
    <w:rsidRoot w:val="00D11A10"/>
    <w:rsid w:val="0000678E"/>
    <w:rsid w:val="0001284F"/>
    <w:rsid w:val="00013FB5"/>
    <w:rsid w:val="000142A7"/>
    <w:rsid w:val="00015149"/>
    <w:rsid w:val="00015717"/>
    <w:rsid w:val="00016639"/>
    <w:rsid w:val="0001683E"/>
    <w:rsid w:val="00020AF6"/>
    <w:rsid w:val="00030433"/>
    <w:rsid w:val="00032FC2"/>
    <w:rsid w:val="00033E40"/>
    <w:rsid w:val="00034E07"/>
    <w:rsid w:val="00035280"/>
    <w:rsid w:val="0003639F"/>
    <w:rsid w:val="00037A1F"/>
    <w:rsid w:val="00037FF2"/>
    <w:rsid w:val="00040D82"/>
    <w:rsid w:val="000422B1"/>
    <w:rsid w:val="00042F71"/>
    <w:rsid w:val="00044DEC"/>
    <w:rsid w:val="00047488"/>
    <w:rsid w:val="00050E05"/>
    <w:rsid w:val="0005135E"/>
    <w:rsid w:val="00051756"/>
    <w:rsid w:val="00055365"/>
    <w:rsid w:val="00056E26"/>
    <w:rsid w:val="00060029"/>
    <w:rsid w:val="000614AB"/>
    <w:rsid w:val="00062629"/>
    <w:rsid w:val="00063C5E"/>
    <w:rsid w:val="00065735"/>
    <w:rsid w:val="00067DEE"/>
    <w:rsid w:val="00074CFE"/>
    <w:rsid w:val="00075D47"/>
    <w:rsid w:val="00076F2E"/>
    <w:rsid w:val="00077821"/>
    <w:rsid w:val="00081F43"/>
    <w:rsid w:val="000832A8"/>
    <w:rsid w:val="00083E66"/>
    <w:rsid w:val="0009061A"/>
    <w:rsid w:val="000911E1"/>
    <w:rsid w:val="000A00A0"/>
    <w:rsid w:val="000A0822"/>
    <w:rsid w:val="000A376C"/>
    <w:rsid w:val="000A4223"/>
    <w:rsid w:val="000A53B0"/>
    <w:rsid w:val="000A58DC"/>
    <w:rsid w:val="000A7376"/>
    <w:rsid w:val="000B017D"/>
    <w:rsid w:val="000B17A9"/>
    <w:rsid w:val="000B22F1"/>
    <w:rsid w:val="000B26AD"/>
    <w:rsid w:val="000B5520"/>
    <w:rsid w:val="000B6367"/>
    <w:rsid w:val="000B7125"/>
    <w:rsid w:val="000C0876"/>
    <w:rsid w:val="000D0C66"/>
    <w:rsid w:val="000D211B"/>
    <w:rsid w:val="000D5A8D"/>
    <w:rsid w:val="000D7433"/>
    <w:rsid w:val="000E1D7D"/>
    <w:rsid w:val="000E40AC"/>
    <w:rsid w:val="000E426C"/>
    <w:rsid w:val="000E67A3"/>
    <w:rsid w:val="000E6972"/>
    <w:rsid w:val="000E6F7B"/>
    <w:rsid w:val="000F14F9"/>
    <w:rsid w:val="000F2D53"/>
    <w:rsid w:val="000F34B2"/>
    <w:rsid w:val="000F51A7"/>
    <w:rsid w:val="000F60EE"/>
    <w:rsid w:val="001008BC"/>
    <w:rsid w:val="00100B5C"/>
    <w:rsid w:val="0011122A"/>
    <w:rsid w:val="00112D8A"/>
    <w:rsid w:val="00113769"/>
    <w:rsid w:val="00116B15"/>
    <w:rsid w:val="001177E2"/>
    <w:rsid w:val="00117EF5"/>
    <w:rsid w:val="00125EF0"/>
    <w:rsid w:val="00127983"/>
    <w:rsid w:val="001348FA"/>
    <w:rsid w:val="00134F87"/>
    <w:rsid w:val="00135BA4"/>
    <w:rsid w:val="00137549"/>
    <w:rsid w:val="00140AB6"/>
    <w:rsid w:val="00141538"/>
    <w:rsid w:val="00142445"/>
    <w:rsid w:val="001429D5"/>
    <w:rsid w:val="001456D6"/>
    <w:rsid w:val="001462DE"/>
    <w:rsid w:val="001463A7"/>
    <w:rsid w:val="00152DC4"/>
    <w:rsid w:val="00153FC4"/>
    <w:rsid w:val="001544EB"/>
    <w:rsid w:val="001652B4"/>
    <w:rsid w:val="001670BC"/>
    <w:rsid w:val="00170F30"/>
    <w:rsid w:val="001714B6"/>
    <w:rsid w:val="00175210"/>
    <w:rsid w:val="0018013E"/>
    <w:rsid w:val="00180E38"/>
    <w:rsid w:val="001814BB"/>
    <w:rsid w:val="001820DF"/>
    <w:rsid w:val="00182F53"/>
    <w:rsid w:val="00191D55"/>
    <w:rsid w:val="00196101"/>
    <w:rsid w:val="0019648A"/>
    <w:rsid w:val="001A4213"/>
    <w:rsid w:val="001A4639"/>
    <w:rsid w:val="001A588A"/>
    <w:rsid w:val="001A6E96"/>
    <w:rsid w:val="001B0FAA"/>
    <w:rsid w:val="001B1DEB"/>
    <w:rsid w:val="001B2633"/>
    <w:rsid w:val="001B31AA"/>
    <w:rsid w:val="001B4A95"/>
    <w:rsid w:val="001B6FF1"/>
    <w:rsid w:val="001B7EF3"/>
    <w:rsid w:val="001C02EB"/>
    <w:rsid w:val="001C0720"/>
    <w:rsid w:val="001C1997"/>
    <w:rsid w:val="001C42BB"/>
    <w:rsid w:val="001D0976"/>
    <w:rsid w:val="001D50CD"/>
    <w:rsid w:val="001D620A"/>
    <w:rsid w:val="001D72EB"/>
    <w:rsid w:val="001D73F8"/>
    <w:rsid w:val="001E015E"/>
    <w:rsid w:val="001E0FFA"/>
    <w:rsid w:val="001E2E5F"/>
    <w:rsid w:val="001E46C1"/>
    <w:rsid w:val="001E7D59"/>
    <w:rsid w:val="001F1120"/>
    <w:rsid w:val="001F2D7E"/>
    <w:rsid w:val="001F3E88"/>
    <w:rsid w:val="001F4518"/>
    <w:rsid w:val="00204DC7"/>
    <w:rsid w:val="00205A6E"/>
    <w:rsid w:val="00207019"/>
    <w:rsid w:val="002076DB"/>
    <w:rsid w:val="0021084F"/>
    <w:rsid w:val="0021086D"/>
    <w:rsid w:val="002111BF"/>
    <w:rsid w:val="00213DFD"/>
    <w:rsid w:val="0021716E"/>
    <w:rsid w:val="00222B12"/>
    <w:rsid w:val="002263FB"/>
    <w:rsid w:val="00230E71"/>
    <w:rsid w:val="002322F8"/>
    <w:rsid w:val="002366A5"/>
    <w:rsid w:val="002379A6"/>
    <w:rsid w:val="00237F73"/>
    <w:rsid w:val="00243248"/>
    <w:rsid w:val="002448BD"/>
    <w:rsid w:val="002527C5"/>
    <w:rsid w:val="002532C6"/>
    <w:rsid w:val="00253707"/>
    <w:rsid w:val="00254085"/>
    <w:rsid w:val="00256FCE"/>
    <w:rsid w:val="00256FE1"/>
    <w:rsid w:val="00260AC2"/>
    <w:rsid w:val="002611D1"/>
    <w:rsid w:val="0026510A"/>
    <w:rsid w:val="002675D0"/>
    <w:rsid w:val="002738EA"/>
    <w:rsid w:val="0027767C"/>
    <w:rsid w:val="002778E1"/>
    <w:rsid w:val="00277D0A"/>
    <w:rsid w:val="00280B11"/>
    <w:rsid w:val="0028221F"/>
    <w:rsid w:val="00282F77"/>
    <w:rsid w:val="00285E0E"/>
    <w:rsid w:val="002860CC"/>
    <w:rsid w:val="00286933"/>
    <w:rsid w:val="00287E2A"/>
    <w:rsid w:val="00290E68"/>
    <w:rsid w:val="002933C1"/>
    <w:rsid w:val="002974D3"/>
    <w:rsid w:val="002A0F56"/>
    <w:rsid w:val="002A3A4B"/>
    <w:rsid w:val="002A3DFE"/>
    <w:rsid w:val="002A6B30"/>
    <w:rsid w:val="002A7A6F"/>
    <w:rsid w:val="002B0B73"/>
    <w:rsid w:val="002B4FC4"/>
    <w:rsid w:val="002C29F5"/>
    <w:rsid w:val="002D2DDF"/>
    <w:rsid w:val="002D3BD1"/>
    <w:rsid w:val="002D4F07"/>
    <w:rsid w:val="002D5745"/>
    <w:rsid w:val="002E11CD"/>
    <w:rsid w:val="002E5E34"/>
    <w:rsid w:val="002E6AC5"/>
    <w:rsid w:val="002F0AB5"/>
    <w:rsid w:val="002F15E5"/>
    <w:rsid w:val="002F704E"/>
    <w:rsid w:val="00300777"/>
    <w:rsid w:val="00304973"/>
    <w:rsid w:val="003059B8"/>
    <w:rsid w:val="00306220"/>
    <w:rsid w:val="0030645B"/>
    <w:rsid w:val="0030699B"/>
    <w:rsid w:val="00307889"/>
    <w:rsid w:val="00307A4A"/>
    <w:rsid w:val="00307AA0"/>
    <w:rsid w:val="003129E2"/>
    <w:rsid w:val="00312C80"/>
    <w:rsid w:val="00313B3A"/>
    <w:rsid w:val="003150EE"/>
    <w:rsid w:val="003160A5"/>
    <w:rsid w:val="003160B6"/>
    <w:rsid w:val="0031706B"/>
    <w:rsid w:val="003201AF"/>
    <w:rsid w:val="00320209"/>
    <w:rsid w:val="00320285"/>
    <w:rsid w:val="00321032"/>
    <w:rsid w:val="00325C54"/>
    <w:rsid w:val="00326242"/>
    <w:rsid w:val="00336201"/>
    <w:rsid w:val="00337089"/>
    <w:rsid w:val="003430FF"/>
    <w:rsid w:val="00347B3E"/>
    <w:rsid w:val="00350101"/>
    <w:rsid w:val="0035190D"/>
    <w:rsid w:val="0036034D"/>
    <w:rsid w:val="003612DB"/>
    <w:rsid w:val="003627AF"/>
    <w:rsid w:val="00362FA1"/>
    <w:rsid w:val="003645C2"/>
    <w:rsid w:val="00364607"/>
    <w:rsid w:val="003655C0"/>
    <w:rsid w:val="003664AE"/>
    <w:rsid w:val="003719DD"/>
    <w:rsid w:val="003725A5"/>
    <w:rsid w:val="00375C50"/>
    <w:rsid w:val="00377890"/>
    <w:rsid w:val="003851BA"/>
    <w:rsid w:val="00386E21"/>
    <w:rsid w:val="00391606"/>
    <w:rsid w:val="00392722"/>
    <w:rsid w:val="003964D9"/>
    <w:rsid w:val="003A01C7"/>
    <w:rsid w:val="003A2CF3"/>
    <w:rsid w:val="003B14F1"/>
    <w:rsid w:val="003B19F1"/>
    <w:rsid w:val="003B1B4E"/>
    <w:rsid w:val="003B2011"/>
    <w:rsid w:val="003B5C5D"/>
    <w:rsid w:val="003C16F3"/>
    <w:rsid w:val="003C2019"/>
    <w:rsid w:val="003C3A19"/>
    <w:rsid w:val="003C3F2C"/>
    <w:rsid w:val="003C4074"/>
    <w:rsid w:val="003C51F7"/>
    <w:rsid w:val="003C6B86"/>
    <w:rsid w:val="003C6CE7"/>
    <w:rsid w:val="003D1F67"/>
    <w:rsid w:val="003D29BC"/>
    <w:rsid w:val="003D2AE2"/>
    <w:rsid w:val="003D6660"/>
    <w:rsid w:val="003D7C34"/>
    <w:rsid w:val="003E20C3"/>
    <w:rsid w:val="003E4B6D"/>
    <w:rsid w:val="003E509B"/>
    <w:rsid w:val="003E5A15"/>
    <w:rsid w:val="003E67AA"/>
    <w:rsid w:val="003E6920"/>
    <w:rsid w:val="003F052C"/>
    <w:rsid w:val="003F1DB7"/>
    <w:rsid w:val="003F7FCD"/>
    <w:rsid w:val="00404BDA"/>
    <w:rsid w:val="004109CA"/>
    <w:rsid w:val="00423C9B"/>
    <w:rsid w:val="00424FEA"/>
    <w:rsid w:val="004255DE"/>
    <w:rsid w:val="00425EAB"/>
    <w:rsid w:val="00430573"/>
    <w:rsid w:val="00433544"/>
    <w:rsid w:val="00434273"/>
    <w:rsid w:val="00434586"/>
    <w:rsid w:val="00434DD8"/>
    <w:rsid w:val="004376A6"/>
    <w:rsid w:val="00437E92"/>
    <w:rsid w:val="00444F52"/>
    <w:rsid w:val="00447B7F"/>
    <w:rsid w:val="004500E6"/>
    <w:rsid w:val="00450347"/>
    <w:rsid w:val="004503A1"/>
    <w:rsid w:val="004507A1"/>
    <w:rsid w:val="00450BBB"/>
    <w:rsid w:val="00453846"/>
    <w:rsid w:val="00453BBF"/>
    <w:rsid w:val="00455D29"/>
    <w:rsid w:val="00457B73"/>
    <w:rsid w:val="00460B2C"/>
    <w:rsid w:val="00460D3A"/>
    <w:rsid w:val="004611CB"/>
    <w:rsid w:val="004709E1"/>
    <w:rsid w:val="00475BBD"/>
    <w:rsid w:val="00476C5E"/>
    <w:rsid w:val="00483C53"/>
    <w:rsid w:val="00484A76"/>
    <w:rsid w:val="00485265"/>
    <w:rsid w:val="00487F11"/>
    <w:rsid w:val="0049512D"/>
    <w:rsid w:val="004977BF"/>
    <w:rsid w:val="004A1117"/>
    <w:rsid w:val="004A1987"/>
    <w:rsid w:val="004B0122"/>
    <w:rsid w:val="004B0699"/>
    <w:rsid w:val="004B2963"/>
    <w:rsid w:val="004B68D3"/>
    <w:rsid w:val="004C18D8"/>
    <w:rsid w:val="004C6AA5"/>
    <w:rsid w:val="004C74F9"/>
    <w:rsid w:val="004C78F4"/>
    <w:rsid w:val="004D2326"/>
    <w:rsid w:val="004D2B3F"/>
    <w:rsid w:val="004D3A6D"/>
    <w:rsid w:val="004D49AB"/>
    <w:rsid w:val="004D5866"/>
    <w:rsid w:val="004E0530"/>
    <w:rsid w:val="004E1E70"/>
    <w:rsid w:val="004E243A"/>
    <w:rsid w:val="004E43D9"/>
    <w:rsid w:val="004E792E"/>
    <w:rsid w:val="004F0BEA"/>
    <w:rsid w:val="004F1110"/>
    <w:rsid w:val="004F55EA"/>
    <w:rsid w:val="004F6289"/>
    <w:rsid w:val="004F6488"/>
    <w:rsid w:val="0050674D"/>
    <w:rsid w:val="00515A44"/>
    <w:rsid w:val="005160E6"/>
    <w:rsid w:val="00522DB9"/>
    <w:rsid w:val="00522ED4"/>
    <w:rsid w:val="00522F24"/>
    <w:rsid w:val="00525646"/>
    <w:rsid w:val="00525A51"/>
    <w:rsid w:val="00530167"/>
    <w:rsid w:val="00530B23"/>
    <w:rsid w:val="00531621"/>
    <w:rsid w:val="005318F0"/>
    <w:rsid w:val="005364AD"/>
    <w:rsid w:val="00540014"/>
    <w:rsid w:val="005433A5"/>
    <w:rsid w:val="00543A66"/>
    <w:rsid w:val="00543CFF"/>
    <w:rsid w:val="00545B86"/>
    <w:rsid w:val="005519C9"/>
    <w:rsid w:val="005537E1"/>
    <w:rsid w:val="005539C5"/>
    <w:rsid w:val="00555425"/>
    <w:rsid w:val="0055575E"/>
    <w:rsid w:val="00555BEF"/>
    <w:rsid w:val="00555E03"/>
    <w:rsid w:val="00556332"/>
    <w:rsid w:val="00560961"/>
    <w:rsid w:val="00566717"/>
    <w:rsid w:val="00571CC7"/>
    <w:rsid w:val="00572557"/>
    <w:rsid w:val="00574F17"/>
    <w:rsid w:val="00575F00"/>
    <w:rsid w:val="005808B5"/>
    <w:rsid w:val="00582218"/>
    <w:rsid w:val="0058415D"/>
    <w:rsid w:val="0058433D"/>
    <w:rsid w:val="005909B3"/>
    <w:rsid w:val="005938CC"/>
    <w:rsid w:val="00593DA2"/>
    <w:rsid w:val="0059440E"/>
    <w:rsid w:val="005944EE"/>
    <w:rsid w:val="00594BFA"/>
    <w:rsid w:val="005A140A"/>
    <w:rsid w:val="005A2846"/>
    <w:rsid w:val="005B0C1C"/>
    <w:rsid w:val="005B2163"/>
    <w:rsid w:val="005B2C4D"/>
    <w:rsid w:val="005B5BF2"/>
    <w:rsid w:val="005B608D"/>
    <w:rsid w:val="005B68B7"/>
    <w:rsid w:val="005C24D7"/>
    <w:rsid w:val="005C35A1"/>
    <w:rsid w:val="005C6C59"/>
    <w:rsid w:val="005C6DDD"/>
    <w:rsid w:val="005D012E"/>
    <w:rsid w:val="005D4C5F"/>
    <w:rsid w:val="005D7062"/>
    <w:rsid w:val="005D70B1"/>
    <w:rsid w:val="005D772E"/>
    <w:rsid w:val="005E13E1"/>
    <w:rsid w:val="005E2386"/>
    <w:rsid w:val="005E4B20"/>
    <w:rsid w:val="005E5607"/>
    <w:rsid w:val="005E6A20"/>
    <w:rsid w:val="005E6F2C"/>
    <w:rsid w:val="005F1563"/>
    <w:rsid w:val="005F1EC4"/>
    <w:rsid w:val="005F2C65"/>
    <w:rsid w:val="005F66BD"/>
    <w:rsid w:val="005F7315"/>
    <w:rsid w:val="005F7792"/>
    <w:rsid w:val="0060111E"/>
    <w:rsid w:val="006017BB"/>
    <w:rsid w:val="00602E9C"/>
    <w:rsid w:val="006041ED"/>
    <w:rsid w:val="0060798A"/>
    <w:rsid w:val="00612A78"/>
    <w:rsid w:val="006136C0"/>
    <w:rsid w:val="00613C43"/>
    <w:rsid w:val="006149BC"/>
    <w:rsid w:val="00615A28"/>
    <w:rsid w:val="00617F05"/>
    <w:rsid w:val="006260B9"/>
    <w:rsid w:val="00630A20"/>
    <w:rsid w:val="006311C3"/>
    <w:rsid w:val="00632F57"/>
    <w:rsid w:val="00633F9A"/>
    <w:rsid w:val="00634A22"/>
    <w:rsid w:val="00635E32"/>
    <w:rsid w:val="00641568"/>
    <w:rsid w:val="00642DDE"/>
    <w:rsid w:val="006467F7"/>
    <w:rsid w:val="00646F83"/>
    <w:rsid w:val="0064747A"/>
    <w:rsid w:val="00647A47"/>
    <w:rsid w:val="00651007"/>
    <w:rsid w:val="0065486E"/>
    <w:rsid w:val="0065573C"/>
    <w:rsid w:val="0066179C"/>
    <w:rsid w:val="0066227E"/>
    <w:rsid w:val="00663554"/>
    <w:rsid w:val="0066428B"/>
    <w:rsid w:val="00664911"/>
    <w:rsid w:val="00664A47"/>
    <w:rsid w:val="00664D9F"/>
    <w:rsid w:val="00665F88"/>
    <w:rsid w:val="00666C14"/>
    <w:rsid w:val="00667D09"/>
    <w:rsid w:val="0067067F"/>
    <w:rsid w:val="00672734"/>
    <w:rsid w:val="006747C4"/>
    <w:rsid w:val="006763BF"/>
    <w:rsid w:val="00677AB1"/>
    <w:rsid w:val="00683309"/>
    <w:rsid w:val="00690ABE"/>
    <w:rsid w:val="00690F02"/>
    <w:rsid w:val="00692449"/>
    <w:rsid w:val="0069336F"/>
    <w:rsid w:val="00693D02"/>
    <w:rsid w:val="006977DB"/>
    <w:rsid w:val="00697BF9"/>
    <w:rsid w:val="006A0469"/>
    <w:rsid w:val="006A105D"/>
    <w:rsid w:val="006A1CB0"/>
    <w:rsid w:val="006A25E3"/>
    <w:rsid w:val="006A5BC9"/>
    <w:rsid w:val="006B0B02"/>
    <w:rsid w:val="006B23DB"/>
    <w:rsid w:val="006B5D25"/>
    <w:rsid w:val="006B6820"/>
    <w:rsid w:val="006B6F54"/>
    <w:rsid w:val="006C0316"/>
    <w:rsid w:val="006C0EE7"/>
    <w:rsid w:val="006C293D"/>
    <w:rsid w:val="006C44F8"/>
    <w:rsid w:val="006C6674"/>
    <w:rsid w:val="006C6D9D"/>
    <w:rsid w:val="006D0E89"/>
    <w:rsid w:val="006D29D0"/>
    <w:rsid w:val="006D5D2C"/>
    <w:rsid w:val="006D7165"/>
    <w:rsid w:val="006D77A9"/>
    <w:rsid w:val="006D786C"/>
    <w:rsid w:val="006E115A"/>
    <w:rsid w:val="006E3196"/>
    <w:rsid w:val="006E328E"/>
    <w:rsid w:val="006E4265"/>
    <w:rsid w:val="006E5706"/>
    <w:rsid w:val="006E6BFD"/>
    <w:rsid w:val="006E716B"/>
    <w:rsid w:val="006F482F"/>
    <w:rsid w:val="006F6069"/>
    <w:rsid w:val="006F72D5"/>
    <w:rsid w:val="007024A4"/>
    <w:rsid w:val="00703035"/>
    <w:rsid w:val="007050EE"/>
    <w:rsid w:val="00706AB1"/>
    <w:rsid w:val="00706F54"/>
    <w:rsid w:val="00710F0B"/>
    <w:rsid w:val="0071282F"/>
    <w:rsid w:val="007128AD"/>
    <w:rsid w:val="00713B80"/>
    <w:rsid w:val="00714884"/>
    <w:rsid w:val="0071726D"/>
    <w:rsid w:val="00717411"/>
    <w:rsid w:val="0072379F"/>
    <w:rsid w:val="00723B33"/>
    <w:rsid w:val="00724FE6"/>
    <w:rsid w:val="00725E94"/>
    <w:rsid w:val="00730B82"/>
    <w:rsid w:val="00732AD7"/>
    <w:rsid w:val="00733A7C"/>
    <w:rsid w:val="00736AAE"/>
    <w:rsid w:val="007375CA"/>
    <w:rsid w:val="00737A76"/>
    <w:rsid w:val="007505F7"/>
    <w:rsid w:val="0075322E"/>
    <w:rsid w:val="00753655"/>
    <w:rsid w:val="0076216B"/>
    <w:rsid w:val="007636CD"/>
    <w:rsid w:val="007637B4"/>
    <w:rsid w:val="007656F6"/>
    <w:rsid w:val="007678DC"/>
    <w:rsid w:val="007702EC"/>
    <w:rsid w:val="00770CE7"/>
    <w:rsid w:val="00771DBF"/>
    <w:rsid w:val="00771E8F"/>
    <w:rsid w:val="007730B4"/>
    <w:rsid w:val="00774CE0"/>
    <w:rsid w:val="00780CE9"/>
    <w:rsid w:val="00781794"/>
    <w:rsid w:val="007818BB"/>
    <w:rsid w:val="00782E30"/>
    <w:rsid w:val="00786A7C"/>
    <w:rsid w:val="0079267B"/>
    <w:rsid w:val="00793CD5"/>
    <w:rsid w:val="00796163"/>
    <w:rsid w:val="007A4006"/>
    <w:rsid w:val="007B05E3"/>
    <w:rsid w:val="007B0A23"/>
    <w:rsid w:val="007B2333"/>
    <w:rsid w:val="007B25A6"/>
    <w:rsid w:val="007B58C8"/>
    <w:rsid w:val="007B6841"/>
    <w:rsid w:val="007C4754"/>
    <w:rsid w:val="007C4A68"/>
    <w:rsid w:val="007C5D4B"/>
    <w:rsid w:val="007C62AA"/>
    <w:rsid w:val="007D475F"/>
    <w:rsid w:val="007E381C"/>
    <w:rsid w:val="007E4F51"/>
    <w:rsid w:val="007E5BE6"/>
    <w:rsid w:val="007F5854"/>
    <w:rsid w:val="008003DA"/>
    <w:rsid w:val="008005F2"/>
    <w:rsid w:val="00802607"/>
    <w:rsid w:val="00803D6B"/>
    <w:rsid w:val="00804005"/>
    <w:rsid w:val="00804DAB"/>
    <w:rsid w:val="008057DB"/>
    <w:rsid w:val="00807010"/>
    <w:rsid w:val="00812A6E"/>
    <w:rsid w:val="00815738"/>
    <w:rsid w:val="008216C4"/>
    <w:rsid w:val="00824908"/>
    <w:rsid w:val="00827ED3"/>
    <w:rsid w:val="008321AD"/>
    <w:rsid w:val="008322ED"/>
    <w:rsid w:val="00833387"/>
    <w:rsid w:val="008360F5"/>
    <w:rsid w:val="00840663"/>
    <w:rsid w:val="00841A9B"/>
    <w:rsid w:val="0084344A"/>
    <w:rsid w:val="00843CEA"/>
    <w:rsid w:val="00844B7C"/>
    <w:rsid w:val="008621B0"/>
    <w:rsid w:val="00862685"/>
    <w:rsid w:val="00862B13"/>
    <w:rsid w:val="00866087"/>
    <w:rsid w:val="008664EE"/>
    <w:rsid w:val="00866E70"/>
    <w:rsid w:val="008674A7"/>
    <w:rsid w:val="00871261"/>
    <w:rsid w:val="008715D9"/>
    <w:rsid w:val="0087165F"/>
    <w:rsid w:val="00871A1F"/>
    <w:rsid w:val="00872B0C"/>
    <w:rsid w:val="00872C6C"/>
    <w:rsid w:val="008738C9"/>
    <w:rsid w:val="00875A7B"/>
    <w:rsid w:val="00880A79"/>
    <w:rsid w:val="008836DF"/>
    <w:rsid w:val="00883B05"/>
    <w:rsid w:val="00886FD8"/>
    <w:rsid w:val="00897580"/>
    <w:rsid w:val="008A0D4F"/>
    <w:rsid w:val="008A6493"/>
    <w:rsid w:val="008A76C9"/>
    <w:rsid w:val="008B1920"/>
    <w:rsid w:val="008B284B"/>
    <w:rsid w:val="008B3EA4"/>
    <w:rsid w:val="008B5931"/>
    <w:rsid w:val="008C0E2E"/>
    <w:rsid w:val="008C42C2"/>
    <w:rsid w:val="008C789B"/>
    <w:rsid w:val="008C7F9A"/>
    <w:rsid w:val="008D3956"/>
    <w:rsid w:val="008D59B5"/>
    <w:rsid w:val="008D5F94"/>
    <w:rsid w:val="008D7345"/>
    <w:rsid w:val="008D76B4"/>
    <w:rsid w:val="008E3184"/>
    <w:rsid w:val="008E3A8C"/>
    <w:rsid w:val="008E3B38"/>
    <w:rsid w:val="008E428B"/>
    <w:rsid w:val="008E6D86"/>
    <w:rsid w:val="008E7C20"/>
    <w:rsid w:val="008F179D"/>
    <w:rsid w:val="008F45B8"/>
    <w:rsid w:val="008F4C3F"/>
    <w:rsid w:val="008F6B0A"/>
    <w:rsid w:val="009014FD"/>
    <w:rsid w:val="00903560"/>
    <w:rsid w:val="00904B9B"/>
    <w:rsid w:val="00907140"/>
    <w:rsid w:val="00907C32"/>
    <w:rsid w:val="00911751"/>
    <w:rsid w:val="00912214"/>
    <w:rsid w:val="00912A53"/>
    <w:rsid w:val="009138B4"/>
    <w:rsid w:val="00915457"/>
    <w:rsid w:val="0091564B"/>
    <w:rsid w:val="00917A09"/>
    <w:rsid w:val="009213A1"/>
    <w:rsid w:val="0092301B"/>
    <w:rsid w:val="00923222"/>
    <w:rsid w:val="00924450"/>
    <w:rsid w:val="0092483F"/>
    <w:rsid w:val="009274D7"/>
    <w:rsid w:val="009279BE"/>
    <w:rsid w:val="00927CBA"/>
    <w:rsid w:val="009310B9"/>
    <w:rsid w:val="00940092"/>
    <w:rsid w:val="0094217B"/>
    <w:rsid w:val="009439AE"/>
    <w:rsid w:val="00945D68"/>
    <w:rsid w:val="00945E1F"/>
    <w:rsid w:val="00946B18"/>
    <w:rsid w:val="00950B9E"/>
    <w:rsid w:val="00951A67"/>
    <w:rsid w:val="00952B16"/>
    <w:rsid w:val="009541D8"/>
    <w:rsid w:val="00955EC3"/>
    <w:rsid w:val="009573F4"/>
    <w:rsid w:val="009579DF"/>
    <w:rsid w:val="00957F0B"/>
    <w:rsid w:val="0096435C"/>
    <w:rsid w:val="00965A55"/>
    <w:rsid w:val="00965A9F"/>
    <w:rsid w:val="009702E2"/>
    <w:rsid w:val="00970B9E"/>
    <w:rsid w:val="0097113C"/>
    <w:rsid w:val="0097446A"/>
    <w:rsid w:val="00976342"/>
    <w:rsid w:val="00982028"/>
    <w:rsid w:val="00982771"/>
    <w:rsid w:val="00984285"/>
    <w:rsid w:val="00985170"/>
    <w:rsid w:val="00993BF2"/>
    <w:rsid w:val="00993D8B"/>
    <w:rsid w:val="00996FEA"/>
    <w:rsid w:val="00997482"/>
    <w:rsid w:val="009A0F3D"/>
    <w:rsid w:val="009A2310"/>
    <w:rsid w:val="009A275C"/>
    <w:rsid w:val="009A4528"/>
    <w:rsid w:val="009A5373"/>
    <w:rsid w:val="009A7B86"/>
    <w:rsid w:val="009B1B57"/>
    <w:rsid w:val="009B3D52"/>
    <w:rsid w:val="009B5893"/>
    <w:rsid w:val="009B7FCE"/>
    <w:rsid w:val="009C4E0A"/>
    <w:rsid w:val="009C6A4B"/>
    <w:rsid w:val="009D08E7"/>
    <w:rsid w:val="009D1698"/>
    <w:rsid w:val="009D420F"/>
    <w:rsid w:val="009D5C70"/>
    <w:rsid w:val="009E445B"/>
    <w:rsid w:val="009E5A9A"/>
    <w:rsid w:val="009F11E9"/>
    <w:rsid w:val="009F3861"/>
    <w:rsid w:val="009F727D"/>
    <w:rsid w:val="00A02577"/>
    <w:rsid w:val="00A026EA"/>
    <w:rsid w:val="00A0427A"/>
    <w:rsid w:val="00A07501"/>
    <w:rsid w:val="00A11D30"/>
    <w:rsid w:val="00A122FC"/>
    <w:rsid w:val="00A14FC0"/>
    <w:rsid w:val="00A16D87"/>
    <w:rsid w:val="00A173EC"/>
    <w:rsid w:val="00A2026B"/>
    <w:rsid w:val="00A23B76"/>
    <w:rsid w:val="00A23E4C"/>
    <w:rsid w:val="00A24129"/>
    <w:rsid w:val="00A24BB6"/>
    <w:rsid w:val="00A25C51"/>
    <w:rsid w:val="00A27618"/>
    <w:rsid w:val="00A3014A"/>
    <w:rsid w:val="00A32D33"/>
    <w:rsid w:val="00A34A35"/>
    <w:rsid w:val="00A35841"/>
    <w:rsid w:val="00A41D3E"/>
    <w:rsid w:val="00A42846"/>
    <w:rsid w:val="00A428C1"/>
    <w:rsid w:val="00A4433C"/>
    <w:rsid w:val="00A45988"/>
    <w:rsid w:val="00A45FC0"/>
    <w:rsid w:val="00A477F6"/>
    <w:rsid w:val="00A505F3"/>
    <w:rsid w:val="00A50871"/>
    <w:rsid w:val="00A5247F"/>
    <w:rsid w:val="00A54C92"/>
    <w:rsid w:val="00A5718B"/>
    <w:rsid w:val="00A670E9"/>
    <w:rsid w:val="00A678A6"/>
    <w:rsid w:val="00A70472"/>
    <w:rsid w:val="00A7386B"/>
    <w:rsid w:val="00A73A01"/>
    <w:rsid w:val="00A77243"/>
    <w:rsid w:val="00A77D7B"/>
    <w:rsid w:val="00A809C5"/>
    <w:rsid w:val="00A81720"/>
    <w:rsid w:val="00A82995"/>
    <w:rsid w:val="00A846BB"/>
    <w:rsid w:val="00A84A10"/>
    <w:rsid w:val="00A854A2"/>
    <w:rsid w:val="00A87292"/>
    <w:rsid w:val="00A93318"/>
    <w:rsid w:val="00A94592"/>
    <w:rsid w:val="00A95436"/>
    <w:rsid w:val="00A95C7A"/>
    <w:rsid w:val="00AA0DA5"/>
    <w:rsid w:val="00AA1B94"/>
    <w:rsid w:val="00AA5F92"/>
    <w:rsid w:val="00AA61FB"/>
    <w:rsid w:val="00AA6C7C"/>
    <w:rsid w:val="00AB065E"/>
    <w:rsid w:val="00AB4AAB"/>
    <w:rsid w:val="00AB4B9A"/>
    <w:rsid w:val="00AC13BD"/>
    <w:rsid w:val="00AC1999"/>
    <w:rsid w:val="00AC24E7"/>
    <w:rsid w:val="00AC39C8"/>
    <w:rsid w:val="00AC4E2E"/>
    <w:rsid w:val="00AC51F3"/>
    <w:rsid w:val="00AD0EA4"/>
    <w:rsid w:val="00AD204C"/>
    <w:rsid w:val="00AD22DA"/>
    <w:rsid w:val="00AD441E"/>
    <w:rsid w:val="00AD66F4"/>
    <w:rsid w:val="00AE1A6A"/>
    <w:rsid w:val="00AE6129"/>
    <w:rsid w:val="00AE68BE"/>
    <w:rsid w:val="00AE770D"/>
    <w:rsid w:val="00AF3555"/>
    <w:rsid w:val="00AF3E1B"/>
    <w:rsid w:val="00AF637D"/>
    <w:rsid w:val="00AF753A"/>
    <w:rsid w:val="00B00B80"/>
    <w:rsid w:val="00B01424"/>
    <w:rsid w:val="00B01CF9"/>
    <w:rsid w:val="00B02CA6"/>
    <w:rsid w:val="00B14BB5"/>
    <w:rsid w:val="00B154E3"/>
    <w:rsid w:val="00B16A3E"/>
    <w:rsid w:val="00B17747"/>
    <w:rsid w:val="00B2081A"/>
    <w:rsid w:val="00B21223"/>
    <w:rsid w:val="00B22457"/>
    <w:rsid w:val="00B26241"/>
    <w:rsid w:val="00B27B9F"/>
    <w:rsid w:val="00B31212"/>
    <w:rsid w:val="00B31FA1"/>
    <w:rsid w:val="00B35672"/>
    <w:rsid w:val="00B36971"/>
    <w:rsid w:val="00B373A8"/>
    <w:rsid w:val="00B411AB"/>
    <w:rsid w:val="00B429DB"/>
    <w:rsid w:val="00B432FE"/>
    <w:rsid w:val="00B44F1B"/>
    <w:rsid w:val="00B46027"/>
    <w:rsid w:val="00B46694"/>
    <w:rsid w:val="00B47EE2"/>
    <w:rsid w:val="00B50622"/>
    <w:rsid w:val="00B50AC9"/>
    <w:rsid w:val="00B52746"/>
    <w:rsid w:val="00B528C9"/>
    <w:rsid w:val="00B52F1B"/>
    <w:rsid w:val="00B559A3"/>
    <w:rsid w:val="00B56851"/>
    <w:rsid w:val="00B56AC1"/>
    <w:rsid w:val="00B56BB7"/>
    <w:rsid w:val="00B61C15"/>
    <w:rsid w:val="00B63BE5"/>
    <w:rsid w:val="00B652D6"/>
    <w:rsid w:val="00B6546D"/>
    <w:rsid w:val="00B6667D"/>
    <w:rsid w:val="00B7150D"/>
    <w:rsid w:val="00B72901"/>
    <w:rsid w:val="00B730EE"/>
    <w:rsid w:val="00B7513B"/>
    <w:rsid w:val="00B76CD7"/>
    <w:rsid w:val="00B77C1B"/>
    <w:rsid w:val="00B80E4B"/>
    <w:rsid w:val="00B81D94"/>
    <w:rsid w:val="00B8609E"/>
    <w:rsid w:val="00B86518"/>
    <w:rsid w:val="00B86951"/>
    <w:rsid w:val="00B86B01"/>
    <w:rsid w:val="00B9053E"/>
    <w:rsid w:val="00B92B75"/>
    <w:rsid w:val="00B95264"/>
    <w:rsid w:val="00B97B5C"/>
    <w:rsid w:val="00B97BCF"/>
    <w:rsid w:val="00BA0D67"/>
    <w:rsid w:val="00BA276B"/>
    <w:rsid w:val="00BA2B3A"/>
    <w:rsid w:val="00BA2BAD"/>
    <w:rsid w:val="00BA2CE9"/>
    <w:rsid w:val="00BA544A"/>
    <w:rsid w:val="00BA7113"/>
    <w:rsid w:val="00BB0D97"/>
    <w:rsid w:val="00BB15E7"/>
    <w:rsid w:val="00BB26E9"/>
    <w:rsid w:val="00BB27D4"/>
    <w:rsid w:val="00BB7E55"/>
    <w:rsid w:val="00BC3269"/>
    <w:rsid w:val="00BC49DB"/>
    <w:rsid w:val="00BC4C19"/>
    <w:rsid w:val="00BC5370"/>
    <w:rsid w:val="00BC596C"/>
    <w:rsid w:val="00BC7D4A"/>
    <w:rsid w:val="00BD0178"/>
    <w:rsid w:val="00BD0991"/>
    <w:rsid w:val="00BD4506"/>
    <w:rsid w:val="00BD5163"/>
    <w:rsid w:val="00BE4957"/>
    <w:rsid w:val="00BE7614"/>
    <w:rsid w:val="00BE7DAC"/>
    <w:rsid w:val="00BF2024"/>
    <w:rsid w:val="00BF3C29"/>
    <w:rsid w:val="00BF4270"/>
    <w:rsid w:val="00BF5452"/>
    <w:rsid w:val="00BF5BDB"/>
    <w:rsid w:val="00BF69F5"/>
    <w:rsid w:val="00C07407"/>
    <w:rsid w:val="00C112FD"/>
    <w:rsid w:val="00C12211"/>
    <w:rsid w:val="00C16F67"/>
    <w:rsid w:val="00C17E3D"/>
    <w:rsid w:val="00C20165"/>
    <w:rsid w:val="00C230BC"/>
    <w:rsid w:val="00C25258"/>
    <w:rsid w:val="00C265A1"/>
    <w:rsid w:val="00C26D1B"/>
    <w:rsid w:val="00C26D82"/>
    <w:rsid w:val="00C30298"/>
    <w:rsid w:val="00C30E47"/>
    <w:rsid w:val="00C333FE"/>
    <w:rsid w:val="00C338F4"/>
    <w:rsid w:val="00C34743"/>
    <w:rsid w:val="00C3701A"/>
    <w:rsid w:val="00C376C5"/>
    <w:rsid w:val="00C3796B"/>
    <w:rsid w:val="00C402CB"/>
    <w:rsid w:val="00C4060C"/>
    <w:rsid w:val="00C408FA"/>
    <w:rsid w:val="00C459E9"/>
    <w:rsid w:val="00C46CDB"/>
    <w:rsid w:val="00C535ED"/>
    <w:rsid w:val="00C537CA"/>
    <w:rsid w:val="00C546E9"/>
    <w:rsid w:val="00C6083F"/>
    <w:rsid w:val="00C61132"/>
    <w:rsid w:val="00C653B3"/>
    <w:rsid w:val="00C718F4"/>
    <w:rsid w:val="00C73436"/>
    <w:rsid w:val="00C76D41"/>
    <w:rsid w:val="00C80374"/>
    <w:rsid w:val="00C80C2B"/>
    <w:rsid w:val="00C86D58"/>
    <w:rsid w:val="00C87EE3"/>
    <w:rsid w:val="00C904A3"/>
    <w:rsid w:val="00C907CC"/>
    <w:rsid w:val="00C90C80"/>
    <w:rsid w:val="00C91573"/>
    <w:rsid w:val="00C91C99"/>
    <w:rsid w:val="00C922B8"/>
    <w:rsid w:val="00C93014"/>
    <w:rsid w:val="00C970C9"/>
    <w:rsid w:val="00CA25DF"/>
    <w:rsid w:val="00CA3A7A"/>
    <w:rsid w:val="00CA43A7"/>
    <w:rsid w:val="00CA63AE"/>
    <w:rsid w:val="00CA6FD4"/>
    <w:rsid w:val="00CA704F"/>
    <w:rsid w:val="00CB0483"/>
    <w:rsid w:val="00CB15CF"/>
    <w:rsid w:val="00CB279B"/>
    <w:rsid w:val="00CB34CE"/>
    <w:rsid w:val="00CB511D"/>
    <w:rsid w:val="00CB5770"/>
    <w:rsid w:val="00CB7415"/>
    <w:rsid w:val="00CB7D40"/>
    <w:rsid w:val="00CC0081"/>
    <w:rsid w:val="00CC0F4E"/>
    <w:rsid w:val="00CC1EA4"/>
    <w:rsid w:val="00CC1EF2"/>
    <w:rsid w:val="00CC21DE"/>
    <w:rsid w:val="00CC3656"/>
    <w:rsid w:val="00CC596A"/>
    <w:rsid w:val="00CC79D4"/>
    <w:rsid w:val="00CD0503"/>
    <w:rsid w:val="00CD4614"/>
    <w:rsid w:val="00CD4F58"/>
    <w:rsid w:val="00CE1C2B"/>
    <w:rsid w:val="00CE1E6E"/>
    <w:rsid w:val="00CE5302"/>
    <w:rsid w:val="00CE5BD1"/>
    <w:rsid w:val="00CE72A8"/>
    <w:rsid w:val="00CE764A"/>
    <w:rsid w:val="00CF5092"/>
    <w:rsid w:val="00D0340C"/>
    <w:rsid w:val="00D037C0"/>
    <w:rsid w:val="00D04EC4"/>
    <w:rsid w:val="00D05544"/>
    <w:rsid w:val="00D05E95"/>
    <w:rsid w:val="00D065B3"/>
    <w:rsid w:val="00D10BE1"/>
    <w:rsid w:val="00D10D09"/>
    <w:rsid w:val="00D10D16"/>
    <w:rsid w:val="00D11A10"/>
    <w:rsid w:val="00D130D6"/>
    <w:rsid w:val="00D1490F"/>
    <w:rsid w:val="00D17978"/>
    <w:rsid w:val="00D21AB0"/>
    <w:rsid w:val="00D22018"/>
    <w:rsid w:val="00D22E0C"/>
    <w:rsid w:val="00D25653"/>
    <w:rsid w:val="00D25E68"/>
    <w:rsid w:val="00D27A6B"/>
    <w:rsid w:val="00D307A1"/>
    <w:rsid w:val="00D310C3"/>
    <w:rsid w:val="00D33885"/>
    <w:rsid w:val="00D35BE4"/>
    <w:rsid w:val="00D368DC"/>
    <w:rsid w:val="00D370EA"/>
    <w:rsid w:val="00D37CD9"/>
    <w:rsid w:val="00D40C53"/>
    <w:rsid w:val="00D41F9F"/>
    <w:rsid w:val="00D425A5"/>
    <w:rsid w:val="00D440E2"/>
    <w:rsid w:val="00D4544F"/>
    <w:rsid w:val="00D45957"/>
    <w:rsid w:val="00D45C55"/>
    <w:rsid w:val="00D52720"/>
    <w:rsid w:val="00D53C1A"/>
    <w:rsid w:val="00D544B5"/>
    <w:rsid w:val="00D5491B"/>
    <w:rsid w:val="00D55F77"/>
    <w:rsid w:val="00D569E9"/>
    <w:rsid w:val="00D56D38"/>
    <w:rsid w:val="00D64CC7"/>
    <w:rsid w:val="00D6595D"/>
    <w:rsid w:val="00D65CC6"/>
    <w:rsid w:val="00D66227"/>
    <w:rsid w:val="00D6747B"/>
    <w:rsid w:val="00D70FCF"/>
    <w:rsid w:val="00D71A16"/>
    <w:rsid w:val="00D75E69"/>
    <w:rsid w:val="00D83362"/>
    <w:rsid w:val="00D840EA"/>
    <w:rsid w:val="00D8463A"/>
    <w:rsid w:val="00D84E37"/>
    <w:rsid w:val="00D8701C"/>
    <w:rsid w:val="00D872E6"/>
    <w:rsid w:val="00D9050C"/>
    <w:rsid w:val="00D90EB1"/>
    <w:rsid w:val="00D92BFA"/>
    <w:rsid w:val="00D939C2"/>
    <w:rsid w:val="00DA2574"/>
    <w:rsid w:val="00DA2D30"/>
    <w:rsid w:val="00DA2DA6"/>
    <w:rsid w:val="00DA6E35"/>
    <w:rsid w:val="00DA7240"/>
    <w:rsid w:val="00DB3863"/>
    <w:rsid w:val="00DB436B"/>
    <w:rsid w:val="00DB6831"/>
    <w:rsid w:val="00DC4C93"/>
    <w:rsid w:val="00DC5857"/>
    <w:rsid w:val="00DC5E8C"/>
    <w:rsid w:val="00DC6CFD"/>
    <w:rsid w:val="00DD2C06"/>
    <w:rsid w:val="00DD455D"/>
    <w:rsid w:val="00DD4BB3"/>
    <w:rsid w:val="00DD50D3"/>
    <w:rsid w:val="00DD5976"/>
    <w:rsid w:val="00DD63F6"/>
    <w:rsid w:val="00DD718E"/>
    <w:rsid w:val="00DD75D5"/>
    <w:rsid w:val="00DE0D32"/>
    <w:rsid w:val="00DE28F9"/>
    <w:rsid w:val="00DE5B5C"/>
    <w:rsid w:val="00DE61F0"/>
    <w:rsid w:val="00DE743B"/>
    <w:rsid w:val="00DF27DF"/>
    <w:rsid w:val="00DF31A2"/>
    <w:rsid w:val="00DF56C2"/>
    <w:rsid w:val="00DF5A49"/>
    <w:rsid w:val="00DF6150"/>
    <w:rsid w:val="00DF6898"/>
    <w:rsid w:val="00E02C54"/>
    <w:rsid w:val="00E0328C"/>
    <w:rsid w:val="00E102ED"/>
    <w:rsid w:val="00E13A2B"/>
    <w:rsid w:val="00E14F38"/>
    <w:rsid w:val="00E16D7A"/>
    <w:rsid w:val="00E200C6"/>
    <w:rsid w:val="00E20D38"/>
    <w:rsid w:val="00E21C39"/>
    <w:rsid w:val="00E22F6F"/>
    <w:rsid w:val="00E239B0"/>
    <w:rsid w:val="00E24014"/>
    <w:rsid w:val="00E30A09"/>
    <w:rsid w:val="00E32E82"/>
    <w:rsid w:val="00E35723"/>
    <w:rsid w:val="00E362E8"/>
    <w:rsid w:val="00E4259B"/>
    <w:rsid w:val="00E4327D"/>
    <w:rsid w:val="00E44C98"/>
    <w:rsid w:val="00E46893"/>
    <w:rsid w:val="00E46DCC"/>
    <w:rsid w:val="00E50934"/>
    <w:rsid w:val="00E524A4"/>
    <w:rsid w:val="00E55CF9"/>
    <w:rsid w:val="00E57697"/>
    <w:rsid w:val="00E615B9"/>
    <w:rsid w:val="00E617B9"/>
    <w:rsid w:val="00E61F0C"/>
    <w:rsid w:val="00E62269"/>
    <w:rsid w:val="00E64B83"/>
    <w:rsid w:val="00E70224"/>
    <w:rsid w:val="00E71ADC"/>
    <w:rsid w:val="00E779B1"/>
    <w:rsid w:val="00E80E02"/>
    <w:rsid w:val="00E83000"/>
    <w:rsid w:val="00E84096"/>
    <w:rsid w:val="00E849E7"/>
    <w:rsid w:val="00E86843"/>
    <w:rsid w:val="00E86C63"/>
    <w:rsid w:val="00E917EC"/>
    <w:rsid w:val="00E92A58"/>
    <w:rsid w:val="00E92AEE"/>
    <w:rsid w:val="00E949E1"/>
    <w:rsid w:val="00E94AA9"/>
    <w:rsid w:val="00E95F40"/>
    <w:rsid w:val="00E97B25"/>
    <w:rsid w:val="00EA4357"/>
    <w:rsid w:val="00EA555F"/>
    <w:rsid w:val="00EA6454"/>
    <w:rsid w:val="00EB14B0"/>
    <w:rsid w:val="00EB1EFA"/>
    <w:rsid w:val="00EB405E"/>
    <w:rsid w:val="00EB45A7"/>
    <w:rsid w:val="00EB46E5"/>
    <w:rsid w:val="00EB5D3A"/>
    <w:rsid w:val="00EB665C"/>
    <w:rsid w:val="00EC06E3"/>
    <w:rsid w:val="00EC1175"/>
    <w:rsid w:val="00EC22BE"/>
    <w:rsid w:val="00EC2713"/>
    <w:rsid w:val="00EC787D"/>
    <w:rsid w:val="00ED1362"/>
    <w:rsid w:val="00ED7585"/>
    <w:rsid w:val="00ED7877"/>
    <w:rsid w:val="00ED7891"/>
    <w:rsid w:val="00ED7BF5"/>
    <w:rsid w:val="00EE13FF"/>
    <w:rsid w:val="00EE4005"/>
    <w:rsid w:val="00EE4518"/>
    <w:rsid w:val="00EF002F"/>
    <w:rsid w:val="00EF0D02"/>
    <w:rsid w:val="00EF0EE3"/>
    <w:rsid w:val="00EF168E"/>
    <w:rsid w:val="00EF3C01"/>
    <w:rsid w:val="00EF7E66"/>
    <w:rsid w:val="00F00BE5"/>
    <w:rsid w:val="00F0332F"/>
    <w:rsid w:val="00F03390"/>
    <w:rsid w:val="00F03F17"/>
    <w:rsid w:val="00F05731"/>
    <w:rsid w:val="00F06D88"/>
    <w:rsid w:val="00F119F1"/>
    <w:rsid w:val="00F152EC"/>
    <w:rsid w:val="00F219D7"/>
    <w:rsid w:val="00F23D1C"/>
    <w:rsid w:val="00F261D8"/>
    <w:rsid w:val="00F30976"/>
    <w:rsid w:val="00F4112C"/>
    <w:rsid w:val="00F4454B"/>
    <w:rsid w:val="00F47DB7"/>
    <w:rsid w:val="00F52417"/>
    <w:rsid w:val="00F532E2"/>
    <w:rsid w:val="00F6001E"/>
    <w:rsid w:val="00F602BC"/>
    <w:rsid w:val="00F61221"/>
    <w:rsid w:val="00F6137B"/>
    <w:rsid w:val="00F63198"/>
    <w:rsid w:val="00F65051"/>
    <w:rsid w:val="00F65678"/>
    <w:rsid w:val="00F664EA"/>
    <w:rsid w:val="00F67D98"/>
    <w:rsid w:val="00F7453A"/>
    <w:rsid w:val="00F7468C"/>
    <w:rsid w:val="00F74D57"/>
    <w:rsid w:val="00F82BB1"/>
    <w:rsid w:val="00F8304E"/>
    <w:rsid w:val="00F853FF"/>
    <w:rsid w:val="00F85E11"/>
    <w:rsid w:val="00F8733F"/>
    <w:rsid w:val="00F92982"/>
    <w:rsid w:val="00F961BB"/>
    <w:rsid w:val="00F97279"/>
    <w:rsid w:val="00FA00CB"/>
    <w:rsid w:val="00FA06F2"/>
    <w:rsid w:val="00FA08F9"/>
    <w:rsid w:val="00FA268A"/>
    <w:rsid w:val="00FA34FD"/>
    <w:rsid w:val="00FB0647"/>
    <w:rsid w:val="00FB25AF"/>
    <w:rsid w:val="00FB3519"/>
    <w:rsid w:val="00FB4319"/>
    <w:rsid w:val="00FC3F3F"/>
    <w:rsid w:val="00FC6188"/>
    <w:rsid w:val="00FC7C21"/>
    <w:rsid w:val="00FD1AFF"/>
    <w:rsid w:val="00FD35CB"/>
    <w:rsid w:val="00FD462A"/>
    <w:rsid w:val="00FD4ACD"/>
    <w:rsid w:val="00FD74C9"/>
    <w:rsid w:val="00FD774B"/>
    <w:rsid w:val="00FE31EC"/>
    <w:rsid w:val="00FE464C"/>
    <w:rsid w:val="00FE6D99"/>
    <w:rsid w:val="00FE6DFB"/>
    <w:rsid w:val="00FF0E82"/>
    <w:rsid w:val="00FF0EED"/>
    <w:rsid w:val="00FF1E00"/>
    <w:rsid w:val="00FF2279"/>
    <w:rsid w:val="00FF2B64"/>
    <w:rsid w:val="00FF40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0C13113-1477-4C8B-BF98-CC8585C81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AB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ind w:left="720"/>
      <w:contextualSpacing/>
    </w:pPr>
  </w:style>
  <w:style w:type="paragraph" w:styleId="Sprechblasentext">
    <w:name w:val="Balloon Text"/>
    <w:basedOn w:val="Standard"/>
    <w:link w:val="SprechblasentextZchn"/>
    <w:uiPriority w:val="99"/>
    <w:semiHidden/>
    <w:unhideWhenUsed/>
    <w:rsid w:val="00DA72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character" w:styleId="Hyperlink">
    <w:name w:val="Hyperlink"/>
    <w:basedOn w:val="Absatz-Standardschriftart"/>
    <w:uiPriority w:val="99"/>
    <w:unhideWhenUsed/>
    <w:rsid w:val="00BA276B"/>
    <w:rPr>
      <w:color w:val="0000FF" w:themeColor="hyperlink"/>
      <w:u w:val="single"/>
    </w:rPr>
  </w:style>
  <w:style w:type="table" w:customStyle="1" w:styleId="Tabellenraster1">
    <w:name w:val="Tabellenraster1"/>
    <w:basedOn w:val="NormaleTabelle"/>
    <w:next w:val="Tabellenraster"/>
    <w:uiPriority w:val="59"/>
    <w:rsid w:val="009702E2"/>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C3656"/>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5">
    <w:name w:val="Plain Table 5"/>
    <w:basedOn w:val="NormaleTabelle"/>
    <w:uiPriority w:val="99"/>
    <w:rsid w:val="00F9298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5dunkel">
    <w:name w:val="Grid Table 5 Dark"/>
    <w:basedOn w:val="NormaleTabelle"/>
    <w:uiPriority w:val="50"/>
    <w:rsid w:val="00F929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tternetztabelle7farbig">
    <w:name w:val="Grid Table 7 Colorful"/>
    <w:basedOn w:val="NormaleTabelle"/>
    <w:uiPriority w:val="52"/>
    <w:rsid w:val="00F9298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
    <w:name w:val="Grid Table 3"/>
    <w:basedOn w:val="NormaleTabelle"/>
    <w:uiPriority w:val="99"/>
    <w:rsid w:val="00F9298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Platzhaltertext">
    <w:name w:val="Placeholder Text"/>
    <w:basedOn w:val="Absatz-Standardschriftart"/>
    <w:uiPriority w:val="99"/>
    <w:semiHidden/>
    <w:rsid w:val="000F34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4936">
      <w:bodyDiv w:val="1"/>
      <w:marLeft w:val="0"/>
      <w:marRight w:val="0"/>
      <w:marTop w:val="0"/>
      <w:marBottom w:val="0"/>
      <w:divBdr>
        <w:top w:val="none" w:sz="0" w:space="0" w:color="auto"/>
        <w:left w:val="none" w:sz="0" w:space="0" w:color="auto"/>
        <w:bottom w:val="none" w:sz="0" w:space="0" w:color="auto"/>
        <w:right w:val="none" w:sz="0" w:space="0" w:color="auto"/>
      </w:divBdr>
    </w:div>
    <w:div w:id="115834704">
      <w:bodyDiv w:val="1"/>
      <w:marLeft w:val="0"/>
      <w:marRight w:val="0"/>
      <w:marTop w:val="0"/>
      <w:marBottom w:val="0"/>
      <w:divBdr>
        <w:top w:val="none" w:sz="0" w:space="0" w:color="auto"/>
        <w:left w:val="none" w:sz="0" w:space="0" w:color="auto"/>
        <w:bottom w:val="none" w:sz="0" w:space="0" w:color="auto"/>
        <w:right w:val="none" w:sz="0" w:space="0" w:color="auto"/>
      </w:divBdr>
    </w:div>
    <w:div w:id="240986729">
      <w:bodyDiv w:val="1"/>
      <w:marLeft w:val="0"/>
      <w:marRight w:val="0"/>
      <w:marTop w:val="0"/>
      <w:marBottom w:val="0"/>
      <w:divBdr>
        <w:top w:val="none" w:sz="0" w:space="0" w:color="auto"/>
        <w:left w:val="none" w:sz="0" w:space="0" w:color="auto"/>
        <w:bottom w:val="none" w:sz="0" w:space="0" w:color="auto"/>
        <w:right w:val="none" w:sz="0" w:space="0" w:color="auto"/>
      </w:divBdr>
    </w:div>
    <w:div w:id="281500032">
      <w:bodyDiv w:val="1"/>
      <w:marLeft w:val="0"/>
      <w:marRight w:val="0"/>
      <w:marTop w:val="0"/>
      <w:marBottom w:val="0"/>
      <w:divBdr>
        <w:top w:val="none" w:sz="0" w:space="0" w:color="auto"/>
        <w:left w:val="none" w:sz="0" w:space="0" w:color="auto"/>
        <w:bottom w:val="none" w:sz="0" w:space="0" w:color="auto"/>
        <w:right w:val="none" w:sz="0" w:space="0" w:color="auto"/>
      </w:divBdr>
    </w:div>
    <w:div w:id="351537165">
      <w:bodyDiv w:val="1"/>
      <w:marLeft w:val="0"/>
      <w:marRight w:val="0"/>
      <w:marTop w:val="0"/>
      <w:marBottom w:val="0"/>
      <w:divBdr>
        <w:top w:val="none" w:sz="0" w:space="0" w:color="auto"/>
        <w:left w:val="none" w:sz="0" w:space="0" w:color="auto"/>
        <w:bottom w:val="none" w:sz="0" w:space="0" w:color="auto"/>
        <w:right w:val="none" w:sz="0" w:space="0" w:color="auto"/>
      </w:divBdr>
    </w:div>
    <w:div w:id="359551033">
      <w:bodyDiv w:val="1"/>
      <w:marLeft w:val="0"/>
      <w:marRight w:val="0"/>
      <w:marTop w:val="0"/>
      <w:marBottom w:val="0"/>
      <w:divBdr>
        <w:top w:val="none" w:sz="0" w:space="0" w:color="auto"/>
        <w:left w:val="none" w:sz="0" w:space="0" w:color="auto"/>
        <w:bottom w:val="none" w:sz="0" w:space="0" w:color="auto"/>
        <w:right w:val="none" w:sz="0" w:space="0" w:color="auto"/>
      </w:divBdr>
    </w:div>
    <w:div w:id="427383911">
      <w:bodyDiv w:val="1"/>
      <w:marLeft w:val="0"/>
      <w:marRight w:val="0"/>
      <w:marTop w:val="0"/>
      <w:marBottom w:val="0"/>
      <w:divBdr>
        <w:top w:val="none" w:sz="0" w:space="0" w:color="auto"/>
        <w:left w:val="none" w:sz="0" w:space="0" w:color="auto"/>
        <w:bottom w:val="none" w:sz="0" w:space="0" w:color="auto"/>
        <w:right w:val="none" w:sz="0" w:space="0" w:color="auto"/>
      </w:divBdr>
    </w:div>
    <w:div w:id="516701222">
      <w:bodyDiv w:val="1"/>
      <w:marLeft w:val="0"/>
      <w:marRight w:val="0"/>
      <w:marTop w:val="0"/>
      <w:marBottom w:val="0"/>
      <w:divBdr>
        <w:top w:val="none" w:sz="0" w:space="0" w:color="auto"/>
        <w:left w:val="none" w:sz="0" w:space="0" w:color="auto"/>
        <w:bottom w:val="none" w:sz="0" w:space="0" w:color="auto"/>
        <w:right w:val="none" w:sz="0" w:space="0" w:color="auto"/>
      </w:divBdr>
    </w:div>
    <w:div w:id="525409889">
      <w:bodyDiv w:val="1"/>
      <w:marLeft w:val="0"/>
      <w:marRight w:val="0"/>
      <w:marTop w:val="0"/>
      <w:marBottom w:val="0"/>
      <w:divBdr>
        <w:top w:val="none" w:sz="0" w:space="0" w:color="auto"/>
        <w:left w:val="none" w:sz="0" w:space="0" w:color="auto"/>
        <w:bottom w:val="none" w:sz="0" w:space="0" w:color="auto"/>
        <w:right w:val="none" w:sz="0" w:space="0" w:color="auto"/>
      </w:divBdr>
    </w:div>
    <w:div w:id="564611145">
      <w:bodyDiv w:val="1"/>
      <w:marLeft w:val="0"/>
      <w:marRight w:val="0"/>
      <w:marTop w:val="0"/>
      <w:marBottom w:val="0"/>
      <w:divBdr>
        <w:top w:val="none" w:sz="0" w:space="0" w:color="auto"/>
        <w:left w:val="none" w:sz="0" w:space="0" w:color="auto"/>
        <w:bottom w:val="none" w:sz="0" w:space="0" w:color="auto"/>
        <w:right w:val="none" w:sz="0" w:space="0" w:color="auto"/>
      </w:divBdr>
    </w:div>
    <w:div w:id="673461600">
      <w:bodyDiv w:val="1"/>
      <w:marLeft w:val="0"/>
      <w:marRight w:val="0"/>
      <w:marTop w:val="0"/>
      <w:marBottom w:val="0"/>
      <w:divBdr>
        <w:top w:val="none" w:sz="0" w:space="0" w:color="auto"/>
        <w:left w:val="none" w:sz="0" w:space="0" w:color="auto"/>
        <w:bottom w:val="none" w:sz="0" w:space="0" w:color="auto"/>
        <w:right w:val="none" w:sz="0" w:space="0" w:color="auto"/>
      </w:divBdr>
    </w:div>
    <w:div w:id="756556984">
      <w:bodyDiv w:val="1"/>
      <w:marLeft w:val="0"/>
      <w:marRight w:val="0"/>
      <w:marTop w:val="0"/>
      <w:marBottom w:val="0"/>
      <w:divBdr>
        <w:top w:val="none" w:sz="0" w:space="0" w:color="auto"/>
        <w:left w:val="none" w:sz="0" w:space="0" w:color="auto"/>
        <w:bottom w:val="none" w:sz="0" w:space="0" w:color="auto"/>
        <w:right w:val="none" w:sz="0" w:space="0" w:color="auto"/>
      </w:divBdr>
    </w:div>
    <w:div w:id="771705559">
      <w:bodyDiv w:val="1"/>
      <w:marLeft w:val="0"/>
      <w:marRight w:val="0"/>
      <w:marTop w:val="0"/>
      <w:marBottom w:val="0"/>
      <w:divBdr>
        <w:top w:val="none" w:sz="0" w:space="0" w:color="auto"/>
        <w:left w:val="none" w:sz="0" w:space="0" w:color="auto"/>
        <w:bottom w:val="none" w:sz="0" w:space="0" w:color="auto"/>
        <w:right w:val="none" w:sz="0" w:space="0" w:color="auto"/>
      </w:divBdr>
    </w:div>
    <w:div w:id="959149549">
      <w:bodyDiv w:val="1"/>
      <w:marLeft w:val="0"/>
      <w:marRight w:val="0"/>
      <w:marTop w:val="0"/>
      <w:marBottom w:val="0"/>
      <w:divBdr>
        <w:top w:val="none" w:sz="0" w:space="0" w:color="auto"/>
        <w:left w:val="none" w:sz="0" w:space="0" w:color="auto"/>
        <w:bottom w:val="none" w:sz="0" w:space="0" w:color="auto"/>
        <w:right w:val="none" w:sz="0" w:space="0" w:color="auto"/>
      </w:divBdr>
    </w:div>
    <w:div w:id="964776806">
      <w:bodyDiv w:val="1"/>
      <w:marLeft w:val="0"/>
      <w:marRight w:val="0"/>
      <w:marTop w:val="0"/>
      <w:marBottom w:val="0"/>
      <w:divBdr>
        <w:top w:val="none" w:sz="0" w:space="0" w:color="auto"/>
        <w:left w:val="none" w:sz="0" w:space="0" w:color="auto"/>
        <w:bottom w:val="none" w:sz="0" w:space="0" w:color="auto"/>
        <w:right w:val="none" w:sz="0" w:space="0" w:color="auto"/>
      </w:divBdr>
    </w:div>
    <w:div w:id="969282156">
      <w:bodyDiv w:val="1"/>
      <w:marLeft w:val="0"/>
      <w:marRight w:val="0"/>
      <w:marTop w:val="0"/>
      <w:marBottom w:val="0"/>
      <w:divBdr>
        <w:top w:val="none" w:sz="0" w:space="0" w:color="auto"/>
        <w:left w:val="none" w:sz="0" w:space="0" w:color="auto"/>
        <w:bottom w:val="none" w:sz="0" w:space="0" w:color="auto"/>
        <w:right w:val="none" w:sz="0" w:space="0" w:color="auto"/>
      </w:divBdr>
    </w:div>
    <w:div w:id="1022820661">
      <w:bodyDiv w:val="1"/>
      <w:marLeft w:val="0"/>
      <w:marRight w:val="0"/>
      <w:marTop w:val="0"/>
      <w:marBottom w:val="0"/>
      <w:divBdr>
        <w:top w:val="none" w:sz="0" w:space="0" w:color="auto"/>
        <w:left w:val="none" w:sz="0" w:space="0" w:color="auto"/>
        <w:bottom w:val="none" w:sz="0" w:space="0" w:color="auto"/>
        <w:right w:val="none" w:sz="0" w:space="0" w:color="auto"/>
      </w:divBdr>
    </w:div>
    <w:div w:id="1026518831">
      <w:bodyDiv w:val="1"/>
      <w:marLeft w:val="0"/>
      <w:marRight w:val="0"/>
      <w:marTop w:val="0"/>
      <w:marBottom w:val="0"/>
      <w:divBdr>
        <w:top w:val="none" w:sz="0" w:space="0" w:color="auto"/>
        <w:left w:val="none" w:sz="0" w:space="0" w:color="auto"/>
        <w:bottom w:val="none" w:sz="0" w:space="0" w:color="auto"/>
        <w:right w:val="none" w:sz="0" w:space="0" w:color="auto"/>
      </w:divBdr>
    </w:div>
    <w:div w:id="1084181230">
      <w:bodyDiv w:val="1"/>
      <w:marLeft w:val="0"/>
      <w:marRight w:val="0"/>
      <w:marTop w:val="0"/>
      <w:marBottom w:val="0"/>
      <w:divBdr>
        <w:top w:val="none" w:sz="0" w:space="0" w:color="auto"/>
        <w:left w:val="none" w:sz="0" w:space="0" w:color="auto"/>
        <w:bottom w:val="none" w:sz="0" w:space="0" w:color="auto"/>
        <w:right w:val="none" w:sz="0" w:space="0" w:color="auto"/>
      </w:divBdr>
    </w:div>
    <w:div w:id="1104954990">
      <w:bodyDiv w:val="1"/>
      <w:marLeft w:val="0"/>
      <w:marRight w:val="0"/>
      <w:marTop w:val="0"/>
      <w:marBottom w:val="0"/>
      <w:divBdr>
        <w:top w:val="none" w:sz="0" w:space="0" w:color="auto"/>
        <w:left w:val="none" w:sz="0" w:space="0" w:color="auto"/>
        <w:bottom w:val="none" w:sz="0" w:space="0" w:color="auto"/>
        <w:right w:val="none" w:sz="0" w:space="0" w:color="auto"/>
      </w:divBdr>
    </w:div>
    <w:div w:id="1229345004">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74786243">
      <w:bodyDiv w:val="1"/>
      <w:marLeft w:val="0"/>
      <w:marRight w:val="0"/>
      <w:marTop w:val="0"/>
      <w:marBottom w:val="0"/>
      <w:divBdr>
        <w:top w:val="none" w:sz="0" w:space="0" w:color="auto"/>
        <w:left w:val="none" w:sz="0" w:space="0" w:color="auto"/>
        <w:bottom w:val="none" w:sz="0" w:space="0" w:color="auto"/>
        <w:right w:val="none" w:sz="0" w:space="0" w:color="auto"/>
      </w:divBdr>
    </w:div>
    <w:div w:id="1489441998">
      <w:bodyDiv w:val="1"/>
      <w:marLeft w:val="0"/>
      <w:marRight w:val="0"/>
      <w:marTop w:val="0"/>
      <w:marBottom w:val="0"/>
      <w:divBdr>
        <w:top w:val="none" w:sz="0" w:space="0" w:color="auto"/>
        <w:left w:val="none" w:sz="0" w:space="0" w:color="auto"/>
        <w:bottom w:val="none" w:sz="0" w:space="0" w:color="auto"/>
        <w:right w:val="none" w:sz="0" w:space="0" w:color="auto"/>
      </w:divBdr>
    </w:div>
    <w:div w:id="1498379303">
      <w:bodyDiv w:val="1"/>
      <w:marLeft w:val="0"/>
      <w:marRight w:val="0"/>
      <w:marTop w:val="0"/>
      <w:marBottom w:val="0"/>
      <w:divBdr>
        <w:top w:val="none" w:sz="0" w:space="0" w:color="auto"/>
        <w:left w:val="none" w:sz="0" w:space="0" w:color="auto"/>
        <w:bottom w:val="none" w:sz="0" w:space="0" w:color="auto"/>
        <w:right w:val="none" w:sz="0" w:space="0" w:color="auto"/>
      </w:divBdr>
    </w:div>
    <w:div w:id="1774592795">
      <w:bodyDiv w:val="1"/>
      <w:marLeft w:val="0"/>
      <w:marRight w:val="0"/>
      <w:marTop w:val="0"/>
      <w:marBottom w:val="0"/>
      <w:divBdr>
        <w:top w:val="none" w:sz="0" w:space="0" w:color="auto"/>
        <w:left w:val="none" w:sz="0" w:space="0" w:color="auto"/>
        <w:bottom w:val="none" w:sz="0" w:space="0" w:color="auto"/>
        <w:right w:val="none" w:sz="0" w:space="0" w:color="auto"/>
      </w:divBdr>
    </w:div>
    <w:div w:id="1859585305">
      <w:bodyDiv w:val="1"/>
      <w:marLeft w:val="0"/>
      <w:marRight w:val="0"/>
      <w:marTop w:val="0"/>
      <w:marBottom w:val="0"/>
      <w:divBdr>
        <w:top w:val="none" w:sz="0" w:space="0" w:color="auto"/>
        <w:left w:val="none" w:sz="0" w:space="0" w:color="auto"/>
        <w:bottom w:val="none" w:sz="0" w:space="0" w:color="auto"/>
        <w:right w:val="none" w:sz="0" w:space="0" w:color="auto"/>
      </w:divBdr>
    </w:div>
    <w:div w:id="1892573317">
      <w:bodyDiv w:val="1"/>
      <w:marLeft w:val="0"/>
      <w:marRight w:val="0"/>
      <w:marTop w:val="0"/>
      <w:marBottom w:val="0"/>
      <w:divBdr>
        <w:top w:val="none" w:sz="0" w:space="0" w:color="auto"/>
        <w:left w:val="none" w:sz="0" w:space="0" w:color="auto"/>
        <w:bottom w:val="none" w:sz="0" w:space="0" w:color="auto"/>
        <w:right w:val="none" w:sz="0" w:space="0" w:color="auto"/>
      </w:divBdr>
    </w:div>
    <w:div w:id="1971864890">
      <w:bodyDiv w:val="1"/>
      <w:marLeft w:val="0"/>
      <w:marRight w:val="0"/>
      <w:marTop w:val="0"/>
      <w:marBottom w:val="0"/>
      <w:divBdr>
        <w:top w:val="none" w:sz="0" w:space="0" w:color="auto"/>
        <w:left w:val="none" w:sz="0" w:space="0" w:color="auto"/>
        <w:bottom w:val="none" w:sz="0" w:space="0" w:color="auto"/>
        <w:right w:val="none" w:sz="0" w:space="0" w:color="auto"/>
      </w:divBdr>
    </w:div>
    <w:div w:id="20255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de-DE"/>
              <a:t>COVID-19 als Berufskrankheit und Arbeitsunfall</a:t>
            </a:r>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de-DE"/>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Pt>
            <c:idx val="2"/>
            <c:invertIfNegative val="0"/>
            <c:bubble3D val="0"/>
            <c:spPr>
              <a:solidFill>
                <a:schemeClr val="accent3">
                  <a:alpha val="70000"/>
                </a:schemeClr>
              </a:solidFill>
              <a:ln>
                <a:noFill/>
              </a:ln>
              <a:effectLst/>
            </c:spPr>
          </c:dPt>
          <c:dPt>
            <c:idx val="3"/>
            <c:invertIfNegative val="0"/>
            <c:bubble3D val="0"/>
            <c:spPr>
              <a:solidFill>
                <a:schemeClr val="accent3">
                  <a:alpha val="7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Tabelle1!$A$2:$D$2</c:f>
              <c:strCache>
                <c:ptCount val="4"/>
                <c:pt idx="0">
                  <c:v>BK COVID-19 angezeigt</c:v>
                </c:pt>
                <c:pt idx="1">
                  <c:v>BK COVID-19 anerkannt</c:v>
                </c:pt>
                <c:pt idx="2">
                  <c:v>Arbeitsunfall COVID-19 gemeldet</c:v>
                </c:pt>
                <c:pt idx="3">
                  <c:v>Arbeitsunfall COVID-19 anerkannt </c:v>
                </c:pt>
              </c:strCache>
            </c:strRef>
          </c:cat>
          <c:val>
            <c:numRef>
              <c:f>Tabelle1!$A$3:$D$3</c:f>
              <c:numCache>
                <c:formatCode>General</c:formatCode>
                <c:ptCount val="4"/>
                <c:pt idx="0">
                  <c:v>119675</c:v>
                </c:pt>
                <c:pt idx="1">
                  <c:v>71232</c:v>
                </c:pt>
                <c:pt idx="2">
                  <c:v>20392</c:v>
                </c:pt>
                <c:pt idx="3">
                  <c:v>6107</c:v>
                </c:pt>
              </c:numCache>
            </c:numRef>
          </c:val>
        </c:ser>
        <c:dLbls>
          <c:dLblPos val="outEnd"/>
          <c:showLegendKey val="0"/>
          <c:showVal val="1"/>
          <c:showCatName val="0"/>
          <c:showSerName val="0"/>
          <c:showPercent val="0"/>
          <c:showBubbleSize val="0"/>
        </c:dLbls>
        <c:gapWidth val="80"/>
        <c:overlap val="25"/>
        <c:axId val="297263280"/>
        <c:axId val="316199960"/>
      </c:barChart>
      <c:catAx>
        <c:axId val="29726328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de-DE"/>
          </a:p>
        </c:txPr>
        <c:crossAx val="316199960"/>
        <c:crosses val="autoZero"/>
        <c:auto val="1"/>
        <c:lblAlgn val="ctr"/>
        <c:lblOffset val="100"/>
        <c:noMultiLvlLbl val="0"/>
      </c:catAx>
      <c:valAx>
        <c:axId val="31619996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de-DE"/>
          </a:p>
        </c:txPr>
        <c:crossAx val="2972632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4ACD1-48E3-449C-AEFA-E0F24988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1688</Words>
  <Characters>10635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Hannes Strobel - MdB Jutta Krellmann</cp:lastModifiedBy>
  <cp:revision>3</cp:revision>
  <cp:lastPrinted>2021-02-01T14:28:00Z</cp:lastPrinted>
  <dcterms:created xsi:type="dcterms:W3CDTF">2021-05-26T10:01:00Z</dcterms:created>
  <dcterms:modified xsi:type="dcterms:W3CDTF">2021-05-26T10:36:00Z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