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84" w:rsidRPr="007E3973" w:rsidRDefault="00803543" w:rsidP="002D4F07">
      <w:pPr>
        <w:tabs>
          <w:tab w:val="left" w:pos="3660"/>
        </w:tabs>
        <w:spacing w:after="120" w:line="240" w:lineRule="auto"/>
        <w:jc w:val="both"/>
        <w:rPr>
          <w:rFonts w:asciiTheme="minorHAnsi" w:hAnsiTheme="minorHAnsi" w:cs="Arial"/>
          <w:b/>
          <w:sz w:val="27"/>
          <w:szCs w:val="27"/>
        </w:rPr>
      </w:pPr>
      <w:r>
        <w:rPr>
          <w:rFonts w:asciiTheme="minorHAnsi" w:hAnsiTheme="minorHAnsi" w:cs="Arial"/>
          <w:b/>
          <w:sz w:val="27"/>
          <w:szCs w:val="27"/>
        </w:rPr>
        <w:t xml:space="preserve">Fleischindustrie: </w:t>
      </w:r>
      <w:r w:rsidR="001C0871">
        <w:rPr>
          <w:rFonts w:asciiTheme="minorHAnsi" w:hAnsiTheme="minorHAnsi" w:cs="Arial"/>
          <w:b/>
          <w:sz w:val="27"/>
          <w:szCs w:val="27"/>
        </w:rPr>
        <w:t xml:space="preserve">Werkvertragsbeschäftigung </w:t>
      </w:r>
      <w:r w:rsidR="00824FC8">
        <w:rPr>
          <w:rFonts w:asciiTheme="minorHAnsi" w:hAnsiTheme="minorHAnsi" w:cs="Arial"/>
          <w:b/>
          <w:sz w:val="27"/>
          <w:szCs w:val="27"/>
        </w:rPr>
        <w:t xml:space="preserve">ging bereits im letzten Jahr </w:t>
      </w:r>
      <w:r w:rsidR="001C0871">
        <w:rPr>
          <w:rFonts w:asciiTheme="minorHAnsi" w:hAnsiTheme="minorHAnsi" w:cs="Arial"/>
          <w:b/>
          <w:sz w:val="27"/>
          <w:szCs w:val="27"/>
        </w:rPr>
        <w:t xml:space="preserve">zurück </w:t>
      </w:r>
    </w:p>
    <w:p w:rsidR="005D70B1" w:rsidRPr="004A423A" w:rsidRDefault="002860CC" w:rsidP="008A0D4F">
      <w:pPr>
        <w:tabs>
          <w:tab w:val="left" w:pos="3660"/>
        </w:tabs>
        <w:spacing w:after="120" w:line="240" w:lineRule="auto"/>
        <w:jc w:val="both"/>
        <w:rPr>
          <w:rFonts w:asciiTheme="minorHAnsi" w:hAnsiTheme="minorHAnsi" w:cs="Arial"/>
          <w:b/>
        </w:rPr>
      </w:pPr>
      <w:r w:rsidRPr="004A423A">
        <w:rPr>
          <w:rFonts w:asciiTheme="minorHAnsi" w:hAnsiTheme="minorHAnsi" w:cs="Arial"/>
          <w:b/>
        </w:rPr>
        <w:t>Auswertung der</w:t>
      </w:r>
      <w:r w:rsidR="00D11A10" w:rsidRPr="004A423A">
        <w:rPr>
          <w:rFonts w:asciiTheme="minorHAnsi" w:hAnsiTheme="minorHAnsi" w:cs="Arial"/>
          <w:b/>
        </w:rPr>
        <w:t xml:space="preserve"> Antw</w:t>
      </w:r>
      <w:r w:rsidRPr="004A423A">
        <w:rPr>
          <w:rFonts w:asciiTheme="minorHAnsi" w:hAnsiTheme="minorHAnsi" w:cs="Arial"/>
          <w:b/>
        </w:rPr>
        <w:t>ort der</w:t>
      </w:r>
      <w:r w:rsidR="002532C6" w:rsidRPr="004A423A">
        <w:rPr>
          <w:rFonts w:asciiTheme="minorHAnsi" w:hAnsiTheme="minorHAnsi" w:cs="Arial"/>
          <w:b/>
        </w:rPr>
        <w:t xml:space="preserve"> Bundesregierung auf </w:t>
      </w:r>
      <w:r w:rsidRPr="004A423A">
        <w:rPr>
          <w:rFonts w:asciiTheme="minorHAnsi" w:hAnsiTheme="minorHAnsi" w:cs="Arial"/>
          <w:b/>
        </w:rPr>
        <w:t>die k</w:t>
      </w:r>
      <w:r w:rsidR="00D11A10" w:rsidRPr="004A423A">
        <w:rPr>
          <w:rFonts w:asciiTheme="minorHAnsi" w:hAnsiTheme="minorHAnsi" w:cs="Arial"/>
          <w:b/>
        </w:rPr>
        <w:t>leine Anfrage „</w:t>
      </w:r>
      <w:r w:rsidR="00803543" w:rsidRPr="00803543">
        <w:rPr>
          <w:rFonts w:asciiTheme="minorHAnsi" w:hAnsiTheme="minorHAnsi" w:cs="Arial"/>
          <w:b/>
        </w:rPr>
        <w:t>Arbeitsbedingungen in der Fleischindustrie heute</w:t>
      </w:r>
      <w:r w:rsidR="008A0D4F" w:rsidRPr="004A423A">
        <w:rPr>
          <w:rFonts w:asciiTheme="minorHAnsi" w:hAnsiTheme="minorHAnsi" w:cs="Arial"/>
          <w:b/>
        </w:rPr>
        <w:t>“ (</w:t>
      </w:r>
      <w:proofErr w:type="spellStart"/>
      <w:r w:rsidR="004A423A" w:rsidRPr="004A423A">
        <w:rPr>
          <w:rFonts w:asciiTheme="minorHAnsi" w:hAnsiTheme="minorHAnsi" w:cs="Arial"/>
          <w:b/>
        </w:rPr>
        <w:t>Drs</w:t>
      </w:r>
      <w:proofErr w:type="spellEnd"/>
      <w:r w:rsidR="004A423A" w:rsidRPr="004A423A">
        <w:rPr>
          <w:rFonts w:asciiTheme="minorHAnsi" w:hAnsiTheme="minorHAnsi" w:cs="Arial"/>
          <w:b/>
        </w:rPr>
        <w:t>. 19/</w:t>
      </w:r>
      <w:r w:rsidR="00803543">
        <w:rPr>
          <w:rFonts w:asciiTheme="minorHAnsi" w:hAnsiTheme="minorHAnsi" w:cs="Arial"/>
          <w:b/>
        </w:rPr>
        <w:t>31790</w:t>
      </w:r>
      <w:r w:rsidR="008A0D4F" w:rsidRPr="004A423A">
        <w:rPr>
          <w:rFonts w:asciiTheme="minorHAnsi" w:hAnsiTheme="minorHAnsi" w:cs="Arial"/>
          <w:b/>
        </w:rPr>
        <w:t xml:space="preserve">) </w:t>
      </w:r>
      <w:r w:rsidR="00D11A10" w:rsidRPr="004A423A">
        <w:rPr>
          <w:rFonts w:asciiTheme="minorHAnsi" w:hAnsiTheme="minorHAnsi" w:cs="Arial"/>
          <w:b/>
        </w:rPr>
        <w:t xml:space="preserve">von </w:t>
      </w:r>
      <w:r w:rsidR="00050E05" w:rsidRPr="004A423A">
        <w:rPr>
          <w:rFonts w:asciiTheme="minorHAnsi" w:hAnsiTheme="minorHAnsi" w:cs="Arial"/>
          <w:b/>
        </w:rPr>
        <w:t>Jutta Krellmann</w:t>
      </w:r>
      <w:r w:rsidR="00D11A10" w:rsidRPr="004A423A">
        <w:rPr>
          <w:rFonts w:asciiTheme="minorHAnsi" w:hAnsiTheme="minorHAnsi" w:cs="Arial"/>
          <w:b/>
        </w:rPr>
        <w:t xml:space="preserve"> u.a</w:t>
      </w:r>
      <w:r w:rsidR="006D0E89" w:rsidRPr="004A423A">
        <w:rPr>
          <w:rFonts w:asciiTheme="minorHAnsi" w:hAnsiTheme="minorHAnsi" w:cs="Arial"/>
          <w:b/>
        </w:rPr>
        <w:t>.</w:t>
      </w:r>
      <w:r w:rsidR="008C789B" w:rsidRPr="004A423A">
        <w:rPr>
          <w:rFonts w:asciiTheme="minorHAnsi" w:hAnsiTheme="minorHAnsi" w:cs="Arial"/>
          <w:b/>
        </w:rPr>
        <w:t xml:space="preserve">, </w:t>
      </w:r>
      <w:r w:rsidR="006D0E89" w:rsidRPr="004A423A">
        <w:rPr>
          <w:rFonts w:asciiTheme="minorHAnsi" w:hAnsiTheme="minorHAnsi" w:cs="Arial"/>
          <w:b/>
        </w:rPr>
        <w:t xml:space="preserve">DIE LINKE </w:t>
      </w:r>
    </w:p>
    <w:p w:rsidR="00B432FE" w:rsidRDefault="00FC3F3F" w:rsidP="008A0D4F">
      <w:pPr>
        <w:spacing w:after="120" w:line="240" w:lineRule="auto"/>
        <w:jc w:val="both"/>
        <w:rPr>
          <w:rFonts w:asciiTheme="minorHAnsi" w:hAnsiTheme="minorHAnsi" w:cs="Arial"/>
          <w:b/>
          <w:u w:val="single"/>
        </w:rPr>
      </w:pPr>
      <w:r w:rsidRPr="00D15337">
        <w:rPr>
          <w:rFonts w:asciiTheme="minorHAnsi" w:hAnsiTheme="minorHAnsi" w:cs="Arial"/>
          <w:b/>
          <w:u w:val="single"/>
        </w:rPr>
        <w:t xml:space="preserve">Zusammenfassung: </w:t>
      </w:r>
    </w:p>
    <w:p w:rsidR="000F2DC8" w:rsidRDefault="000F2DC8" w:rsidP="00824FC8">
      <w:pPr>
        <w:spacing w:after="120"/>
        <w:rPr>
          <w:rFonts w:asciiTheme="minorHAnsi" w:eastAsia="Arial" w:hAnsiTheme="minorHAnsi" w:cs="Arial"/>
          <w:color w:val="000000"/>
        </w:rPr>
      </w:pPr>
      <w:r w:rsidRPr="00FE1A41">
        <w:rPr>
          <w:rFonts w:asciiTheme="minorHAnsi" w:eastAsia="Arial" w:hAnsiTheme="minorHAnsi" w:cs="Arial"/>
          <w:color w:val="000000"/>
        </w:rPr>
        <w:t>Mehr als ein Drittel aller</w:t>
      </w:r>
      <w:r w:rsidRPr="00FE1A41">
        <w:t xml:space="preserve"> </w:t>
      </w:r>
      <w:r w:rsidRPr="00FE1A41">
        <w:rPr>
          <w:rFonts w:asciiTheme="minorHAnsi" w:eastAsia="Arial" w:hAnsiTheme="minorHAnsi" w:cs="Arial"/>
          <w:color w:val="000000"/>
        </w:rPr>
        <w:t xml:space="preserve">Arbeitsstunden im Bereich der Bereich der industriellen </w:t>
      </w:r>
      <w:proofErr w:type="spellStart"/>
      <w:r w:rsidRPr="00FE1A41">
        <w:rPr>
          <w:rFonts w:asciiTheme="minorHAnsi" w:eastAsia="Arial" w:hAnsiTheme="minorHAnsi" w:cs="Arial"/>
          <w:color w:val="000000"/>
        </w:rPr>
        <w:t>Be</w:t>
      </w:r>
      <w:proofErr w:type="spellEnd"/>
      <w:r w:rsidRPr="00FE1A41">
        <w:rPr>
          <w:rFonts w:asciiTheme="minorHAnsi" w:eastAsia="Arial" w:hAnsiTheme="minorHAnsi" w:cs="Arial"/>
          <w:color w:val="000000"/>
        </w:rPr>
        <w:t>- und Verarbeitung von Fleischwaren wurden 2020 von Werkvertragsbeschäftigten geleistet. Im Vergleich zum Vorjahr ist dieser Anteil gesunken (von etwa 39 auf etwa 35 Prozent). Im selben Zeitraum ist die Zahl der Werkvertragsunternehmen in der Fleischindustrie von 428 auf 376 gesunken.</w:t>
      </w:r>
    </w:p>
    <w:p w:rsidR="00B5133F" w:rsidRDefault="00B5133F" w:rsidP="000F2DC8">
      <w:pPr>
        <w:rPr>
          <w:rFonts w:asciiTheme="minorHAnsi" w:eastAsia="Arial" w:hAnsiTheme="minorHAnsi" w:cs="Arial"/>
          <w:color w:val="000000"/>
        </w:rPr>
      </w:pPr>
      <w:r>
        <w:rPr>
          <w:noProof/>
          <w:lang w:eastAsia="de-DE"/>
        </w:rPr>
        <w:drawing>
          <wp:inline distT="0" distB="0" distL="0" distR="0" wp14:anchorId="0A948B81" wp14:editId="63F9541D">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0871" w:rsidRPr="00FE1A41" w:rsidRDefault="001C0871" w:rsidP="00824FC8">
      <w:pPr>
        <w:spacing w:after="120"/>
        <w:rPr>
          <w:rFonts w:asciiTheme="minorHAnsi" w:eastAsia="Arial" w:hAnsiTheme="minorHAnsi" w:cs="Arial"/>
          <w:color w:val="000000"/>
        </w:rPr>
      </w:pPr>
      <w:r w:rsidRPr="001C0871">
        <w:rPr>
          <w:rFonts w:asciiTheme="minorHAnsi" w:eastAsia="Arial" w:hAnsiTheme="minorHAnsi" w:cs="Arial"/>
          <w:color w:val="000000"/>
        </w:rPr>
        <w:t xml:space="preserve">Das monatliche Durchschnittseinkommen in der Fleischindustrie liegt </w:t>
      </w:r>
      <w:r w:rsidR="007516F9">
        <w:rPr>
          <w:rFonts w:asciiTheme="minorHAnsi" w:eastAsia="Arial" w:hAnsiTheme="minorHAnsi" w:cs="Arial"/>
          <w:color w:val="000000"/>
        </w:rPr>
        <w:t xml:space="preserve">2020 </w:t>
      </w:r>
      <w:bookmarkStart w:id="0" w:name="_GoBack"/>
      <w:bookmarkEnd w:id="0"/>
      <w:r w:rsidRPr="001C0871">
        <w:rPr>
          <w:rFonts w:asciiTheme="minorHAnsi" w:eastAsia="Arial" w:hAnsiTheme="minorHAnsi" w:cs="Arial"/>
          <w:color w:val="000000"/>
        </w:rPr>
        <w:t xml:space="preserve">mit 2.274 € um die Hälfte niedriger </w:t>
      </w:r>
      <w:proofErr w:type="spellStart"/>
      <w:r w:rsidRPr="001C0871">
        <w:rPr>
          <w:rFonts w:asciiTheme="minorHAnsi" w:eastAsia="Arial" w:hAnsiTheme="minorHAnsi" w:cs="Arial"/>
          <w:color w:val="000000"/>
        </w:rPr>
        <w:t>niedriger</w:t>
      </w:r>
      <w:proofErr w:type="spellEnd"/>
      <w:r w:rsidRPr="001C0871">
        <w:rPr>
          <w:rFonts w:asciiTheme="minorHAnsi" w:eastAsia="Arial" w:hAnsiTheme="minorHAnsi" w:cs="Arial"/>
          <w:color w:val="000000"/>
        </w:rPr>
        <w:t xml:space="preserve"> als in der Gesamtwirtschaft mit 3.427 €. Mehr als die Hälfte der sozialversicherungspflichtig Vollzeitbeschäftigten in der Fleischindustrie arbeiten zum Niedriglohn. </w:t>
      </w:r>
      <w:r w:rsidR="00824FC8">
        <w:rPr>
          <w:rFonts w:asciiTheme="minorHAnsi" w:eastAsia="Arial" w:hAnsiTheme="minorHAnsi" w:cs="Arial"/>
          <w:color w:val="000000"/>
        </w:rPr>
        <w:t xml:space="preserve">Der Anteil der Niedriglohnbezieher ist seit zehn Jahren erstmals gesunken. </w:t>
      </w:r>
    </w:p>
    <w:p w:rsidR="00FE1A41" w:rsidRPr="00824FC8" w:rsidRDefault="001C0871" w:rsidP="00824FC8">
      <w:pPr>
        <w:spacing w:after="120" w:line="240" w:lineRule="auto"/>
        <w:jc w:val="both"/>
        <w:rPr>
          <w:rFonts w:asciiTheme="minorHAnsi" w:eastAsia="Arial" w:hAnsiTheme="minorHAnsi" w:cs="Arial"/>
          <w:bCs/>
          <w:color w:val="000000"/>
        </w:rPr>
      </w:pPr>
      <w:r w:rsidRPr="001C0871">
        <w:rPr>
          <w:rFonts w:asciiTheme="minorHAnsi" w:eastAsia="Arial" w:hAnsiTheme="minorHAnsi" w:cs="Arial"/>
          <w:bCs/>
          <w:color w:val="000000"/>
        </w:rPr>
        <w:t xml:space="preserve">Die Bundesregierung sieht zum gegenwärtigen Zeitpunkt keine Notwendigkeit, das Verbot von Werkverträgen auf andere Branchen zu übertragen. </w:t>
      </w:r>
      <w:r>
        <w:rPr>
          <w:rFonts w:asciiTheme="minorHAnsi" w:eastAsia="Arial" w:hAnsiTheme="minorHAnsi" w:cs="Arial"/>
          <w:bCs/>
          <w:color w:val="000000"/>
        </w:rPr>
        <w:t xml:space="preserve">Sie wird die </w:t>
      </w:r>
      <w:r w:rsidR="00FE1A41" w:rsidRPr="00FE1A41">
        <w:rPr>
          <w:rFonts w:asciiTheme="minorHAnsi" w:eastAsia="Arial" w:hAnsiTheme="minorHAnsi" w:cs="Arial"/>
          <w:bCs/>
          <w:color w:val="000000"/>
        </w:rPr>
        <w:t>Regelung zur Einschränkung des Einsatzes von Fremdpersonal in der Fleischwirts</w:t>
      </w:r>
      <w:r w:rsidR="00FE1A41">
        <w:rPr>
          <w:rFonts w:asciiTheme="minorHAnsi" w:eastAsia="Arial" w:hAnsiTheme="minorHAnsi" w:cs="Arial"/>
          <w:bCs/>
          <w:color w:val="000000"/>
        </w:rPr>
        <w:t xml:space="preserve">chaft </w:t>
      </w:r>
      <w:r w:rsidR="00FE1A41" w:rsidRPr="00FE1A41">
        <w:rPr>
          <w:rFonts w:asciiTheme="minorHAnsi" w:eastAsia="Arial" w:hAnsiTheme="minorHAnsi" w:cs="Arial"/>
          <w:bCs/>
          <w:color w:val="000000"/>
        </w:rPr>
        <w:t xml:space="preserve">im Jahr 2023 evaluieren. </w:t>
      </w:r>
      <w:r w:rsidR="000F2DC8" w:rsidRPr="00FE1A41">
        <w:rPr>
          <w:rFonts w:asciiTheme="minorHAnsi" w:eastAsia="Arial" w:hAnsiTheme="minorHAnsi" w:cstheme="minorHAnsi"/>
          <w:bCs/>
          <w:color w:val="000000"/>
        </w:rPr>
        <w:t>Ein Antrag der Tarifvertragsparteien auf Erlass einer Rechtsverordnung nach § 7 des Arbeitnehmer-Entsendegesetzes für den von ihnen abgeschlossenen Tarifvertrag zur Festlegung eines Mindestlohns in der Fleischwirtschaft ist am 10. August 2021 im Bundesministerium für Arbeit und Soziales (BMAS) eingegangen. Liegen die gesetzlichen Voraussetzungen vor, wird das BMAS den Tarifvertrag für allgemeinverbindlich erk</w:t>
      </w:r>
      <w:r w:rsidR="00FE1A41" w:rsidRPr="00FE1A41">
        <w:rPr>
          <w:rFonts w:asciiTheme="minorHAnsi" w:eastAsia="Arial" w:hAnsiTheme="minorHAnsi" w:cstheme="minorHAnsi"/>
          <w:bCs/>
          <w:color w:val="000000"/>
        </w:rPr>
        <w:t>lären</w:t>
      </w:r>
      <w:r w:rsidR="00FE1A41" w:rsidRPr="00FE1A41">
        <w:rPr>
          <w:rFonts w:asciiTheme="minorHAnsi" w:eastAsia="Arial" w:hAnsiTheme="minorHAnsi" w:cs="Arial"/>
          <w:bCs/>
          <w:color w:val="000000"/>
        </w:rPr>
        <w:t xml:space="preserve">. </w:t>
      </w:r>
    </w:p>
    <w:p w:rsidR="00396C8F" w:rsidRPr="00396C8F" w:rsidRDefault="000F2DC8" w:rsidP="00824FC8">
      <w:pPr>
        <w:spacing w:after="120" w:line="240" w:lineRule="auto"/>
        <w:jc w:val="both"/>
        <w:rPr>
          <w:rFonts w:asciiTheme="minorHAnsi" w:eastAsia="Arial" w:hAnsiTheme="minorHAnsi" w:cs="Arial"/>
          <w:color w:val="000000"/>
        </w:rPr>
      </w:pPr>
      <w:r w:rsidRPr="00FE1A41">
        <w:rPr>
          <w:rFonts w:asciiTheme="minorHAnsi" w:eastAsia="Arial" w:hAnsiTheme="minorHAnsi" w:cs="Arial"/>
          <w:color w:val="000000"/>
        </w:rPr>
        <w:t xml:space="preserve">Die Anzahl der Beschäftigten in der Fleischindustrie </w:t>
      </w:r>
      <w:r w:rsidR="00FE1A41" w:rsidRPr="00FE1A41">
        <w:rPr>
          <w:rFonts w:asciiTheme="minorHAnsi" w:eastAsia="Arial" w:hAnsiTheme="minorHAnsi" w:cs="Arial"/>
          <w:color w:val="000000"/>
        </w:rPr>
        <w:t>ist in den letzten zehn Jahren angestiegen</w:t>
      </w:r>
      <w:r w:rsidR="001C0871">
        <w:rPr>
          <w:rFonts w:asciiTheme="minorHAnsi" w:eastAsia="Arial" w:hAnsiTheme="minorHAnsi" w:cs="Arial"/>
          <w:color w:val="000000"/>
        </w:rPr>
        <w:t>, d</w:t>
      </w:r>
      <w:r w:rsidR="001C0871" w:rsidRPr="001C0871">
        <w:rPr>
          <w:rFonts w:asciiTheme="minorHAnsi" w:eastAsia="Arial" w:hAnsiTheme="minorHAnsi" w:cs="Arial"/>
          <w:color w:val="000000"/>
        </w:rPr>
        <w:t>ie Zahl der ausländischen Beschäftigten hat sich mehr als verdreifacht.</w:t>
      </w:r>
      <w:r w:rsidR="001C0871">
        <w:rPr>
          <w:rFonts w:asciiTheme="minorHAnsi" w:eastAsia="Arial" w:hAnsiTheme="minorHAnsi" w:cs="Arial"/>
          <w:color w:val="000000"/>
        </w:rPr>
        <w:t xml:space="preserve"> Allerdings sind die Beschäftigtenzahlen seit dem </w:t>
      </w:r>
      <w:r w:rsidR="00396C8F" w:rsidRPr="00396C8F">
        <w:rPr>
          <w:rFonts w:asciiTheme="minorHAnsi" w:eastAsia="Arial" w:hAnsiTheme="minorHAnsi" w:cs="Arial"/>
          <w:color w:val="000000"/>
        </w:rPr>
        <w:t xml:space="preserve">Vor-Corona-Jahr 2018 gesunken. </w:t>
      </w:r>
    </w:p>
    <w:p w:rsidR="00663554" w:rsidRPr="005B3118" w:rsidRDefault="00663554" w:rsidP="00663554">
      <w:pPr>
        <w:spacing w:after="0" w:line="240" w:lineRule="auto"/>
        <w:jc w:val="both"/>
        <w:rPr>
          <w:rFonts w:asciiTheme="minorHAnsi" w:hAnsiTheme="minorHAnsi" w:cs="Arial"/>
          <w:b/>
          <w:u w:val="single"/>
        </w:rPr>
      </w:pPr>
      <w:r w:rsidRPr="005B3118">
        <w:rPr>
          <w:rFonts w:asciiTheme="minorHAnsi" w:hAnsiTheme="minorHAnsi" w:cs="Arial"/>
          <w:b/>
          <w:u w:val="single"/>
        </w:rPr>
        <w:t>O-Ton Jutta Krellmann, MdB, Sprecherin für Mitbestimmung und Arb</w:t>
      </w:r>
      <w:r w:rsidR="0087165F" w:rsidRPr="005B3118">
        <w:rPr>
          <w:rFonts w:asciiTheme="minorHAnsi" w:hAnsiTheme="minorHAnsi" w:cs="Arial"/>
          <w:b/>
          <w:u w:val="single"/>
        </w:rPr>
        <w:t xml:space="preserve">eit, </w:t>
      </w:r>
      <w:r w:rsidRPr="005B3118">
        <w:rPr>
          <w:rFonts w:asciiTheme="minorHAnsi" w:hAnsiTheme="minorHAnsi" w:cs="Arial"/>
          <w:b/>
          <w:u w:val="single"/>
        </w:rPr>
        <w:t>DIE LINKE im Bundestag:</w:t>
      </w:r>
    </w:p>
    <w:p w:rsidR="00733A7C" w:rsidRPr="004A423A" w:rsidRDefault="00733A7C" w:rsidP="00663554">
      <w:pPr>
        <w:spacing w:after="0" w:line="240" w:lineRule="auto"/>
        <w:jc w:val="both"/>
        <w:rPr>
          <w:rFonts w:asciiTheme="minorHAnsi" w:hAnsiTheme="minorHAnsi" w:cs="Arial"/>
          <w:i/>
          <w:sz w:val="12"/>
          <w:szCs w:val="12"/>
          <w:highlight w:val="yellow"/>
        </w:rPr>
      </w:pPr>
    </w:p>
    <w:p w:rsidR="001F4518" w:rsidRDefault="009472F0" w:rsidP="00F00BE5">
      <w:pPr>
        <w:spacing w:after="0" w:line="240" w:lineRule="auto"/>
        <w:jc w:val="both"/>
        <w:rPr>
          <w:rFonts w:asciiTheme="minorHAnsi" w:hAnsiTheme="minorHAnsi" w:cs="Arial"/>
          <w:i/>
        </w:rPr>
      </w:pPr>
      <w:r w:rsidRPr="009472F0">
        <w:rPr>
          <w:rFonts w:asciiTheme="minorHAnsi" w:hAnsiTheme="minorHAnsi" w:cs="Arial"/>
          <w:i/>
        </w:rPr>
        <w:t>„</w:t>
      </w:r>
      <w:r w:rsidR="00EF15B3" w:rsidRPr="00EF15B3">
        <w:rPr>
          <w:rFonts w:asciiTheme="minorHAnsi" w:hAnsiTheme="minorHAnsi" w:cs="Arial"/>
          <w:i/>
        </w:rPr>
        <w:t xml:space="preserve">Das Verbot </w:t>
      </w:r>
      <w:r w:rsidR="00EF15B3">
        <w:rPr>
          <w:rFonts w:asciiTheme="minorHAnsi" w:hAnsiTheme="minorHAnsi" w:cs="Arial"/>
          <w:i/>
        </w:rPr>
        <w:t xml:space="preserve">von Werkverträgen </w:t>
      </w:r>
      <w:r w:rsidR="00824FC8">
        <w:rPr>
          <w:rFonts w:asciiTheme="minorHAnsi" w:hAnsiTheme="minorHAnsi" w:cs="Arial"/>
          <w:i/>
        </w:rPr>
        <w:t xml:space="preserve">in der Fleischindustrie </w:t>
      </w:r>
      <w:r w:rsidR="001D39AC">
        <w:rPr>
          <w:rFonts w:asciiTheme="minorHAnsi" w:hAnsiTheme="minorHAnsi" w:cs="Arial"/>
          <w:i/>
        </w:rPr>
        <w:t>zeigt erste Wirkung. Es ist ein gutes Instrument gegen prekäre Beschäftigung. Jetzt muss es die Bundesregierung auch auf andere</w:t>
      </w:r>
      <w:r w:rsidR="00EF15B3">
        <w:rPr>
          <w:rFonts w:asciiTheme="minorHAnsi" w:hAnsiTheme="minorHAnsi" w:cs="Arial"/>
          <w:i/>
        </w:rPr>
        <w:t xml:space="preserve"> </w:t>
      </w:r>
      <w:r w:rsidR="00EF15B3" w:rsidRPr="00EF15B3">
        <w:rPr>
          <w:rFonts w:asciiTheme="minorHAnsi" w:hAnsiTheme="minorHAnsi" w:cs="Arial"/>
          <w:i/>
        </w:rPr>
        <w:t>Niedriglohn-Branchen</w:t>
      </w:r>
      <w:r w:rsidR="001D39AC">
        <w:rPr>
          <w:rFonts w:asciiTheme="minorHAnsi" w:hAnsiTheme="minorHAnsi" w:cs="Arial"/>
          <w:i/>
        </w:rPr>
        <w:t xml:space="preserve"> anwenden</w:t>
      </w:r>
      <w:r w:rsidR="00EF15B3">
        <w:rPr>
          <w:rFonts w:asciiTheme="minorHAnsi" w:hAnsiTheme="minorHAnsi" w:cs="Arial"/>
          <w:i/>
        </w:rPr>
        <w:t xml:space="preserve">. Es ist völlig unverständlich, dass sie den Missbrauch von Werkverträgen nicht </w:t>
      </w:r>
      <w:r w:rsidR="00824FC8">
        <w:rPr>
          <w:rFonts w:asciiTheme="minorHAnsi" w:hAnsiTheme="minorHAnsi" w:cs="Arial"/>
          <w:i/>
        </w:rPr>
        <w:t>auch im Handel, der Logistik oder bei den Paketdiensten</w:t>
      </w:r>
      <w:r w:rsidR="00B5133F">
        <w:rPr>
          <w:rFonts w:asciiTheme="minorHAnsi" w:hAnsiTheme="minorHAnsi" w:cs="Arial"/>
          <w:i/>
        </w:rPr>
        <w:t xml:space="preserve"> stoppen will</w:t>
      </w:r>
      <w:r w:rsidR="00EF15B3" w:rsidRPr="00EF15B3">
        <w:rPr>
          <w:rFonts w:asciiTheme="minorHAnsi" w:hAnsiTheme="minorHAnsi" w:cs="Arial"/>
          <w:i/>
        </w:rPr>
        <w:t>.</w:t>
      </w:r>
      <w:r w:rsidR="00EF15B3">
        <w:rPr>
          <w:rFonts w:asciiTheme="minorHAnsi" w:hAnsiTheme="minorHAnsi" w:cs="Arial"/>
          <w:i/>
        </w:rPr>
        <w:t xml:space="preserve"> Doch am Ende helfen gegen Niedriglöhne nur gute Tarifverträge. Die werden von organisierten Beschäftigten und ihren Gewerkschaften erkämpft. Die Bundesregierung muss das unterstützen und Tarifverträge leichter für allgemeinverbindlich erklären. </w:t>
      </w:r>
      <w:r w:rsidR="00B5133F">
        <w:rPr>
          <w:rFonts w:asciiTheme="minorHAnsi" w:hAnsiTheme="minorHAnsi" w:cs="Arial"/>
          <w:i/>
        </w:rPr>
        <w:t xml:space="preserve">Damit wir </w:t>
      </w:r>
      <w:r w:rsidR="008B22CB">
        <w:rPr>
          <w:rFonts w:asciiTheme="minorHAnsi" w:hAnsiTheme="minorHAnsi" w:cs="Arial"/>
          <w:i/>
        </w:rPr>
        <w:t xml:space="preserve">in allen Branchen </w:t>
      </w:r>
      <w:r w:rsidR="00B5133F">
        <w:rPr>
          <w:rFonts w:asciiTheme="minorHAnsi" w:hAnsiTheme="minorHAnsi" w:cs="Arial"/>
          <w:i/>
        </w:rPr>
        <w:t>gute Arbeit bei guten Löhnen bekommen.</w:t>
      </w:r>
      <w:r w:rsidRPr="009472F0">
        <w:rPr>
          <w:rFonts w:asciiTheme="minorHAnsi" w:hAnsiTheme="minorHAnsi" w:cs="Arial"/>
          <w:i/>
        </w:rPr>
        <w:t>“</w:t>
      </w:r>
    </w:p>
    <w:p w:rsidR="00824FC8" w:rsidRDefault="00824FC8" w:rsidP="00F00BE5">
      <w:pPr>
        <w:spacing w:after="0" w:line="240" w:lineRule="auto"/>
        <w:jc w:val="both"/>
        <w:rPr>
          <w:rFonts w:asciiTheme="minorHAnsi" w:hAnsiTheme="minorHAnsi" w:cs="Arial"/>
          <w:i/>
        </w:rPr>
      </w:pPr>
    </w:p>
    <w:p w:rsidR="00824FC8" w:rsidRPr="00824FC8" w:rsidRDefault="00824FC8" w:rsidP="00824FC8">
      <w:pPr>
        <w:spacing w:after="120" w:line="240" w:lineRule="auto"/>
        <w:jc w:val="both"/>
        <w:rPr>
          <w:rFonts w:asciiTheme="minorHAnsi" w:hAnsiTheme="minorHAnsi" w:cs="Arial"/>
          <w:b/>
          <w:u w:val="single"/>
        </w:rPr>
      </w:pPr>
      <w:r w:rsidRPr="00824FC8">
        <w:rPr>
          <w:rFonts w:asciiTheme="minorHAnsi" w:hAnsiTheme="minorHAnsi" w:cs="Arial"/>
          <w:b/>
          <w:u w:val="single"/>
        </w:rPr>
        <w:t>Hintergrund</w:t>
      </w:r>
      <w:r w:rsidRPr="00824FC8">
        <w:rPr>
          <w:u w:val="single"/>
        </w:rPr>
        <w:t xml:space="preserve"> </w:t>
      </w:r>
      <w:r w:rsidRPr="00824FC8">
        <w:rPr>
          <w:rFonts w:asciiTheme="minorHAnsi" w:hAnsiTheme="minorHAnsi" w:cs="Arial"/>
          <w:b/>
          <w:u w:val="single"/>
        </w:rPr>
        <w:t xml:space="preserve">Arbeitsschutzkontrollgesetz: </w:t>
      </w:r>
    </w:p>
    <w:p w:rsidR="00824FC8" w:rsidRPr="00824FC8" w:rsidRDefault="00824FC8" w:rsidP="00824FC8">
      <w:pPr>
        <w:spacing w:after="120" w:line="240" w:lineRule="auto"/>
        <w:jc w:val="both"/>
        <w:rPr>
          <w:rFonts w:asciiTheme="minorHAnsi" w:hAnsiTheme="minorHAnsi" w:cs="Arial"/>
        </w:rPr>
      </w:pPr>
      <w:r>
        <w:rPr>
          <w:rFonts w:asciiTheme="minorHAnsi" w:hAnsiTheme="minorHAnsi" w:cs="Arial"/>
        </w:rPr>
        <w:t xml:space="preserve">Durch das </w:t>
      </w:r>
      <w:r w:rsidRPr="00824FC8">
        <w:rPr>
          <w:rFonts w:asciiTheme="minorHAnsi" w:hAnsiTheme="minorHAnsi" w:cs="Arial"/>
        </w:rPr>
        <w:t>Gesetz zur Verbesserung des Vollzugs im Arbeitsschutz</w:t>
      </w:r>
      <w:r>
        <w:rPr>
          <w:rFonts w:asciiTheme="minorHAnsi" w:hAnsiTheme="minorHAnsi" w:cs="Arial"/>
        </w:rPr>
        <w:t xml:space="preserve"> („Arbeitsschutzkontrollgesetz“) wird es </w:t>
      </w:r>
      <w:r w:rsidRPr="00824FC8">
        <w:rPr>
          <w:rFonts w:asciiTheme="minorHAnsi" w:hAnsiTheme="minorHAnsi" w:cs="Arial"/>
        </w:rPr>
        <w:t>grundsätzlich verboten, Fremdpersonal im Kerngeschäft der Fleischindustrie (Schlachtung, Zerlegung und Fleischverarbeitung) einzusetzen. Das Fleischunternehmen darf damit im Kernbereich nur eigene Arbeitnehmer beschäftigen. Dies gilt ab dem 1. Januar 2021. Für den Einsatz von Leiharbeitnehmerinnen und Leiharbeitnehmern gilt es ab dem 1. April 2021 (mit einer eng begrenzten Ausnahme für die Fleischverarbeitung). Ausgenommen hiervon sind nur Unternehmen des Fleischerhandwerks mit bis zu 49 tätigen Personen. Das Gesetz soll geordnete und sichere Arbeitsbedingungen in der Fleischindustrie herstellen. Darüber hinaus legt es bundesweit einheitliche Regeln zur Kontrolle der Betriebe und zur Unterbringung der Beschäftigten auch in anderen Br</w:t>
      </w:r>
      <w:r>
        <w:rPr>
          <w:rFonts w:asciiTheme="minorHAnsi" w:hAnsiTheme="minorHAnsi" w:cs="Arial"/>
        </w:rPr>
        <w:t xml:space="preserve">anchen fest. </w:t>
      </w:r>
      <w:r w:rsidRPr="00824FC8">
        <w:rPr>
          <w:rFonts w:asciiTheme="minorHAnsi" w:hAnsiTheme="minorHAnsi" w:cs="Arial"/>
        </w:rPr>
        <w:t>(Quelle BMAS: https://www.bmas.de/DE/Service/Gesetze-und-Gesetzesvorhaben/arbeitsschutzkontrollgesetz.html).</w:t>
      </w:r>
    </w:p>
    <w:p w:rsidR="007F5854" w:rsidRPr="00557C17" w:rsidRDefault="007F5854" w:rsidP="007F5854">
      <w:pPr>
        <w:spacing w:after="0" w:line="240" w:lineRule="auto"/>
        <w:jc w:val="both"/>
        <w:rPr>
          <w:rFonts w:asciiTheme="minorHAnsi" w:hAnsiTheme="minorHAnsi" w:cs="Arial"/>
          <w:b/>
          <w:u w:val="single"/>
        </w:rPr>
      </w:pPr>
      <w:r w:rsidRPr="00557C17">
        <w:rPr>
          <w:rFonts w:asciiTheme="minorHAnsi" w:hAnsiTheme="minorHAnsi" w:cs="Arial"/>
          <w:b/>
          <w:u w:val="single"/>
        </w:rPr>
        <w:t xml:space="preserve">Ergebnisse im Einzelnen: </w:t>
      </w:r>
    </w:p>
    <w:p w:rsidR="0094217B" w:rsidRPr="00270148" w:rsidRDefault="00270148" w:rsidP="00270148">
      <w:pPr>
        <w:numPr>
          <w:ilvl w:val="0"/>
          <w:numId w:val="17"/>
        </w:numPr>
        <w:spacing w:after="0" w:line="240" w:lineRule="auto"/>
        <w:contextualSpacing/>
        <w:jc w:val="both"/>
        <w:rPr>
          <w:rFonts w:asciiTheme="minorHAnsi" w:eastAsia="Arial" w:hAnsiTheme="minorHAnsi" w:cs="Arial"/>
          <w:bCs/>
          <w:color w:val="000000"/>
        </w:rPr>
      </w:pPr>
      <w:r w:rsidRPr="00270148">
        <w:rPr>
          <w:rFonts w:asciiTheme="minorHAnsi" w:eastAsia="Arial" w:hAnsiTheme="minorHAnsi" w:cs="Arial"/>
          <w:b/>
          <w:bCs/>
          <w:color w:val="000000"/>
        </w:rPr>
        <w:t>Die Regelung zur Einschränkung des Einsatzes von Fremdpersonal in der Fleischwirtschaft</w:t>
      </w:r>
      <w:r w:rsidRPr="00270148">
        <w:rPr>
          <w:rFonts w:asciiTheme="minorHAnsi" w:eastAsia="Arial" w:hAnsiTheme="minorHAnsi" w:cs="Arial"/>
          <w:bCs/>
          <w:color w:val="000000"/>
        </w:rPr>
        <w:t xml:space="preserve"> </w:t>
      </w:r>
      <w:r>
        <w:rPr>
          <w:rFonts w:asciiTheme="minorHAnsi" w:eastAsia="Arial" w:hAnsiTheme="minorHAnsi" w:cs="Arial"/>
          <w:bCs/>
          <w:color w:val="000000"/>
        </w:rPr>
        <w:t xml:space="preserve">(vgl. </w:t>
      </w:r>
      <w:r w:rsidRPr="00270148">
        <w:rPr>
          <w:rFonts w:asciiTheme="minorHAnsi" w:eastAsia="Arial" w:hAnsiTheme="minorHAnsi" w:cs="Arial"/>
          <w:bCs/>
          <w:color w:val="000000"/>
        </w:rPr>
        <w:t>§ 8 des Gesetzes zur Sicherung von Arbeitnehmerrechten in der Fleischwirtschaft</w:t>
      </w:r>
      <w:r>
        <w:rPr>
          <w:rFonts w:asciiTheme="minorHAnsi" w:eastAsia="Arial" w:hAnsiTheme="minorHAnsi" w:cs="Arial"/>
          <w:bCs/>
          <w:color w:val="000000"/>
        </w:rPr>
        <w:t xml:space="preserve">) </w:t>
      </w:r>
      <w:r w:rsidRPr="00270148">
        <w:rPr>
          <w:rFonts w:asciiTheme="minorHAnsi" w:eastAsia="Arial" w:hAnsiTheme="minorHAnsi" w:cs="Arial"/>
          <w:bCs/>
          <w:color w:val="000000"/>
        </w:rPr>
        <w:t xml:space="preserve">wird das Bundearbeitsministerium im Jahr 2023 </w:t>
      </w:r>
      <w:r>
        <w:rPr>
          <w:rFonts w:asciiTheme="minorHAnsi" w:eastAsia="Arial" w:hAnsiTheme="minorHAnsi" w:cs="Arial"/>
          <w:bCs/>
          <w:color w:val="000000"/>
        </w:rPr>
        <w:t>evaluieren (s. Frage 1):</w:t>
      </w:r>
    </w:p>
    <w:p w:rsidR="00803543" w:rsidRDefault="00270148" w:rsidP="00270148">
      <w:pPr>
        <w:numPr>
          <w:ilvl w:val="1"/>
          <w:numId w:val="17"/>
        </w:numPr>
        <w:spacing w:after="0" w:line="240" w:lineRule="auto"/>
        <w:contextualSpacing/>
        <w:jc w:val="both"/>
        <w:rPr>
          <w:rFonts w:asciiTheme="minorHAnsi" w:eastAsia="Arial" w:hAnsiTheme="minorHAnsi" w:cs="Arial"/>
          <w:bCs/>
          <w:color w:val="000000"/>
        </w:rPr>
      </w:pPr>
      <w:r>
        <w:rPr>
          <w:rFonts w:asciiTheme="minorHAnsi" w:eastAsia="Arial" w:hAnsiTheme="minorHAnsi" w:cs="Arial"/>
          <w:bCs/>
          <w:color w:val="000000"/>
        </w:rPr>
        <w:t>D</w:t>
      </w:r>
      <w:r w:rsidRPr="00270148">
        <w:rPr>
          <w:rFonts w:asciiTheme="minorHAnsi" w:eastAsia="Arial" w:hAnsiTheme="minorHAnsi" w:cs="Arial"/>
          <w:bCs/>
          <w:color w:val="000000"/>
        </w:rPr>
        <w:t xml:space="preserve">ie Bundesregierung </w:t>
      </w:r>
      <w:r>
        <w:rPr>
          <w:rFonts w:asciiTheme="minorHAnsi" w:eastAsia="Arial" w:hAnsiTheme="minorHAnsi" w:cs="Arial"/>
          <w:bCs/>
          <w:color w:val="000000"/>
        </w:rPr>
        <w:t xml:space="preserve">sieht </w:t>
      </w:r>
      <w:r w:rsidRPr="00270148">
        <w:rPr>
          <w:rFonts w:asciiTheme="minorHAnsi" w:eastAsia="Arial" w:hAnsiTheme="minorHAnsi" w:cs="Arial"/>
          <w:bCs/>
          <w:color w:val="000000"/>
        </w:rPr>
        <w:t>zum gegenwärtigen</w:t>
      </w:r>
      <w:r>
        <w:rPr>
          <w:rFonts w:asciiTheme="minorHAnsi" w:eastAsia="Arial" w:hAnsiTheme="minorHAnsi" w:cs="Arial"/>
          <w:bCs/>
          <w:color w:val="000000"/>
        </w:rPr>
        <w:t xml:space="preserve"> </w:t>
      </w:r>
      <w:r w:rsidRPr="00270148">
        <w:rPr>
          <w:rFonts w:asciiTheme="minorHAnsi" w:eastAsia="Arial" w:hAnsiTheme="minorHAnsi" w:cs="Arial"/>
          <w:bCs/>
          <w:color w:val="000000"/>
        </w:rPr>
        <w:t>Zeitpunkt keine Notwendigkeit, das Verbot von Werkverträgen auf andere</w:t>
      </w:r>
      <w:r>
        <w:rPr>
          <w:rFonts w:asciiTheme="minorHAnsi" w:eastAsia="Arial" w:hAnsiTheme="minorHAnsi" w:cs="Arial"/>
          <w:bCs/>
          <w:color w:val="000000"/>
        </w:rPr>
        <w:t xml:space="preserve"> Branchen zu übertragen (s. Frage 1a)</w:t>
      </w:r>
    </w:p>
    <w:p w:rsidR="00270148" w:rsidRPr="00270148" w:rsidRDefault="00270148" w:rsidP="00270148">
      <w:pPr>
        <w:numPr>
          <w:ilvl w:val="1"/>
          <w:numId w:val="17"/>
        </w:numPr>
        <w:spacing w:after="0" w:line="240" w:lineRule="auto"/>
        <w:contextualSpacing/>
        <w:jc w:val="both"/>
        <w:rPr>
          <w:rFonts w:asciiTheme="minorHAnsi" w:eastAsia="Arial" w:hAnsiTheme="minorHAnsi" w:cstheme="minorHAnsi"/>
          <w:bCs/>
          <w:color w:val="000000"/>
        </w:rPr>
      </w:pPr>
      <w:r w:rsidRPr="00270148">
        <w:rPr>
          <w:rFonts w:asciiTheme="minorHAnsi" w:eastAsia="Arial" w:hAnsiTheme="minorHAnsi" w:cstheme="minorHAnsi"/>
          <w:bCs/>
          <w:color w:val="000000"/>
        </w:rPr>
        <w:t>Ein Antrag der Tarifvertragsparteien auf Erlass einer Rechtsverordnung nach § 7 des Arbeitnehmer-Entsendegesetzes für den von ihnen abgeschlossenen Tarifvertrag zur Festlegung eines Mindestlohns in der Fleischwirtschaft ist am 10. August 2021 im Bundesministerium für Arbeit und Soziales (BMAS) eingegangen. Eine inhaltliche Prüfung des Antrags steht noch aus. Liegen die gesetzlichen Voraussetzungen vor, wird das BMAS den Tarifvertrag für allgemeinverbindlich erklären (s. Frage 1b)</w:t>
      </w:r>
    </w:p>
    <w:p w:rsidR="00F82C9C" w:rsidRPr="008B29D8" w:rsidRDefault="00270148" w:rsidP="00F82C9C">
      <w:pPr>
        <w:numPr>
          <w:ilvl w:val="1"/>
          <w:numId w:val="17"/>
        </w:numPr>
        <w:spacing w:after="0" w:line="240" w:lineRule="auto"/>
        <w:contextualSpacing/>
        <w:jc w:val="both"/>
        <w:rPr>
          <w:rFonts w:asciiTheme="minorHAnsi" w:eastAsia="Arial" w:hAnsiTheme="minorHAnsi" w:cstheme="minorHAnsi"/>
          <w:bCs/>
          <w:color w:val="000000"/>
        </w:rPr>
      </w:pPr>
      <w:r w:rsidRPr="00270148">
        <w:rPr>
          <w:rFonts w:asciiTheme="minorHAnsi" w:hAnsiTheme="minorHAnsi" w:cstheme="minorHAnsi"/>
          <w:lang w:eastAsia="de-DE"/>
        </w:rPr>
        <w:t>Der Abschluss eines Tarifvertrags zur Regelung weiterer Arbeitsbedingungen ist im Rahmen der gesetzlich garantierten</w:t>
      </w:r>
      <w:r w:rsidRPr="00270148">
        <w:rPr>
          <w:rFonts w:asciiTheme="minorHAnsi" w:eastAsia="Arial" w:hAnsiTheme="minorHAnsi" w:cstheme="minorHAnsi"/>
          <w:bCs/>
          <w:color w:val="000000"/>
        </w:rPr>
        <w:t xml:space="preserve"> </w:t>
      </w:r>
      <w:r w:rsidRPr="00270148">
        <w:rPr>
          <w:rFonts w:asciiTheme="minorHAnsi" w:hAnsiTheme="minorHAnsi" w:cstheme="minorHAnsi"/>
          <w:lang w:eastAsia="de-DE"/>
        </w:rPr>
        <w:t xml:space="preserve">Tarifautonomie alleinige Angelegenheit der Tarifvertragsparteien (s. Frage 1b). </w:t>
      </w:r>
    </w:p>
    <w:p w:rsidR="00F82C9C" w:rsidRPr="008B29D8" w:rsidRDefault="00F82C9C" w:rsidP="00F82C9C">
      <w:pPr>
        <w:pStyle w:val="Listenabsatz"/>
        <w:numPr>
          <w:ilvl w:val="0"/>
          <w:numId w:val="16"/>
        </w:numPr>
        <w:spacing w:after="0" w:line="240" w:lineRule="auto"/>
        <w:jc w:val="both"/>
        <w:rPr>
          <w:rFonts w:asciiTheme="minorHAnsi" w:eastAsia="Arial" w:hAnsiTheme="minorHAnsi" w:cs="Arial"/>
          <w:color w:val="000000"/>
        </w:rPr>
      </w:pPr>
      <w:r w:rsidRPr="008B29D8">
        <w:rPr>
          <w:rFonts w:asciiTheme="minorHAnsi" w:eastAsia="Arial" w:hAnsiTheme="minorHAnsi" w:cs="Arial"/>
          <w:b/>
          <w:color w:val="000000"/>
        </w:rPr>
        <w:t xml:space="preserve">Die Anzahl der Beschäftigten in der Fleischindustrie </w:t>
      </w:r>
      <w:r w:rsidRPr="008B29D8">
        <w:rPr>
          <w:rFonts w:asciiTheme="minorHAnsi" w:eastAsia="Arial" w:hAnsiTheme="minorHAnsi" w:cs="Arial"/>
          <w:color w:val="000000"/>
        </w:rPr>
        <w:t>(Schlachten und Verarbeitung) ist von</w:t>
      </w:r>
      <w:r w:rsidR="009F7C3D" w:rsidRPr="008B29D8">
        <w:rPr>
          <w:rFonts w:asciiTheme="minorHAnsi" w:eastAsia="Arial" w:hAnsiTheme="minorHAnsi" w:cs="Arial"/>
          <w:color w:val="000000"/>
        </w:rPr>
        <w:t xml:space="preserve"> 175.377</w:t>
      </w:r>
      <w:r w:rsidRPr="008B29D8">
        <w:rPr>
          <w:rFonts w:asciiTheme="minorHAnsi" w:eastAsia="Arial" w:hAnsiTheme="minorHAnsi" w:cs="Arial"/>
          <w:color w:val="000000"/>
        </w:rPr>
        <w:t xml:space="preserve"> auf 185</w:t>
      </w:r>
      <w:r w:rsidR="009F7C3D" w:rsidRPr="008B29D8">
        <w:rPr>
          <w:rFonts w:asciiTheme="minorHAnsi" w:eastAsia="Arial" w:hAnsiTheme="minorHAnsi" w:cs="Arial"/>
          <w:color w:val="000000"/>
        </w:rPr>
        <w:t>.187</w:t>
      </w:r>
      <w:r w:rsidRPr="008B29D8">
        <w:rPr>
          <w:rFonts w:asciiTheme="minorHAnsi" w:eastAsia="Arial" w:hAnsiTheme="minorHAnsi" w:cs="Arial"/>
          <w:color w:val="000000"/>
        </w:rPr>
        <w:t xml:space="preserve"> angestiegen (+ </w:t>
      </w:r>
      <w:r w:rsidR="00916CF3">
        <w:rPr>
          <w:rFonts w:asciiTheme="minorHAnsi" w:eastAsia="Arial" w:hAnsiTheme="minorHAnsi" w:cs="Arial"/>
          <w:color w:val="000000"/>
        </w:rPr>
        <w:t>5,59</w:t>
      </w:r>
      <w:r w:rsidR="0047243C">
        <w:rPr>
          <w:rFonts w:asciiTheme="minorHAnsi" w:eastAsia="Arial" w:hAnsiTheme="minorHAnsi" w:cs="Arial"/>
          <w:color w:val="000000"/>
        </w:rPr>
        <w:t xml:space="preserve"> </w:t>
      </w:r>
      <w:r w:rsidRPr="008B29D8">
        <w:rPr>
          <w:rFonts w:asciiTheme="minorHAnsi" w:eastAsia="Arial" w:hAnsiTheme="minorHAnsi" w:cs="Arial"/>
          <w:color w:val="000000"/>
        </w:rPr>
        <w:t xml:space="preserve">%) (s. Frage 1, Tabelle 2 und </w:t>
      </w:r>
      <w:proofErr w:type="spellStart"/>
      <w:r w:rsidRPr="008B29D8">
        <w:rPr>
          <w:rFonts w:asciiTheme="minorHAnsi" w:eastAsia="Arial" w:hAnsiTheme="minorHAnsi" w:cs="Arial"/>
          <w:color w:val="000000"/>
        </w:rPr>
        <w:t>Drs</w:t>
      </w:r>
      <w:proofErr w:type="spellEnd"/>
      <w:r w:rsidRPr="008B29D8">
        <w:rPr>
          <w:rFonts w:asciiTheme="minorHAnsi" w:eastAsia="Arial" w:hAnsiTheme="minorHAnsi" w:cs="Arial"/>
          <w:color w:val="000000"/>
        </w:rPr>
        <w:t>. 19/11284 Frage 1, Tabelle 2)</w:t>
      </w:r>
      <w:r w:rsidR="008B29D8" w:rsidRPr="008B29D8">
        <w:rPr>
          <w:rFonts w:asciiTheme="minorHAnsi" w:eastAsia="Arial" w:hAnsiTheme="minorHAnsi" w:cs="Arial"/>
          <w:color w:val="000000"/>
        </w:rPr>
        <w:t xml:space="preserve">, </w:t>
      </w:r>
      <w:r w:rsidR="003D138D">
        <w:rPr>
          <w:rFonts w:asciiTheme="minorHAnsi" w:eastAsia="Arial" w:hAnsiTheme="minorHAnsi" w:cs="Arial"/>
          <w:color w:val="000000"/>
        </w:rPr>
        <w:t>von 2010 zu</w:t>
      </w:r>
      <w:r w:rsidR="008B29D8" w:rsidRPr="008B29D8">
        <w:rPr>
          <w:rFonts w:asciiTheme="minorHAnsi" w:eastAsia="Arial" w:hAnsiTheme="minorHAnsi" w:cs="Arial"/>
          <w:color w:val="000000"/>
        </w:rPr>
        <w:t xml:space="preserve"> 2020:</w:t>
      </w:r>
    </w:p>
    <w:p w:rsidR="008B29D8" w:rsidRPr="008B29D8" w:rsidRDefault="003D138D" w:rsidP="008B29D8">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ausländische</w:t>
      </w:r>
      <w:r w:rsidR="008B29D8" w:rsidRPr="008B29D8">
        <w:rPr>
          <w:rFonts w:asciiTheme="minorHAnsi" w:eastAsia="Arial" w:hAnsiTheme="minorHAnsi" w:cs="Arial"/>
          <w:color w:val="000000"/>
        </w:rPr>
        <w:t xml:space="preserve"> Beschäftigte:</w:t>
      </w:r>
      <w:r w:rsidR="00916CF3">
        <w:rPr>
          <w:rFonts w:asciiTheme="minorHAnsi" w:eastAsia="Arial" w:hAnsiTheme="minorHAnsi" w:cs="Arial"/>
          <w:color w:val="000000"/>
        </w:rPr>
        <w:t xml:space="preserve"> von </w:t>
      </w:r>
      <w:r w:rsidR="008B29D8" w:rsidRPr="008B29D8">
        <w:rPr>
          <w:rFonts w:asciiTheme="minorHAnsi" w:eastAsia="Arial" w:hAnsiTheme="minorHAnsi" w:cs="Arial"/>
          <w:color w:val="000000"/>
        </w:rPr>
        <w:t xml:space="preserve">16.767 auf </w:t>
      </w:r>
      <w:r w:rsidR="00404D4D">
        <w:rPr>
          <w:rFonts w:asciiTheme="minorHAnsi" w:eastAsia="Arial" w:hAnsiTheme="minorHAnsi" w:cs="Arial"/>
          <w:color w:val="000000"/>
        </w:rPr>
        <w:t xml:space="preserve">58.284 </w:t>
      </w:r>
      <w:r w:rsidR="008B29D8" w:rsidRPr="008B29D8">
        <w:rPr>
          <w:rFonts w:asciiTheme="minorHAnsi" w:eastAsia="Arial" w:hAnsiTheme="minorHAnsi" w:cs="Arial"/>
          <w:color w:val="000000"/>
        </w:rPr>
        <w:t>(+</w:t>
      </w:r>
      <w:r w:rsidR="00916CF3">
        <w:rPr>
          <w:rFonts w:asciiTheme="minorHAnsi" w:eastAsia="Arial" w:hAnsiTheme="minorHAnsi" w:cs="Arial"/>
          <w:color w:val="000000"/>
        </w:rPr>
        <w:t xml:space="preserve"> 247,61</w:t>
      </w:r>
      <w:r w:rsidR="008B29D8" w:rsidRPr="008B29D8">
        <w:rPr>
          <w:rFonts w:asciiTheme="minorHAnsi" w:eastAsia="Arial" w:hAnsiTheme="minorHAnsi" w:cs="Arial"/>
          <w:color w:val="000000"/>
        </w:rPr>
        <w:t xml:space="preserve"> %)</w:t>
      </w:r>
    </w:p>
    <w:p w:rsidR="008B29D8" w:rsidRPr="008B29D8"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8B29D8">
        <w:rPr>
          <w:rFonts w:asciiTheme="minorHAnsi" w:eastAsia="Arial" w:hAnsiTheme="minorHAnsi" w:cs="Arial"/>
          <w:color w:val="000000"/>
        </w:rPr>
        <w:t>Frauen: von 95.285</w:t>
      </w:r>
      <w:r w:rsidR="003D138D">
        <w:rPr>
          <w:rFonts w:asciiTheme="minorHAnsi" w:eastAsia="Arial" w:hAnsiTheme="minorHAnsi" w:cs="Arial"/>
          <w:color w:val="000000"/>
        </w:rPr>
        <w:t xml:space="preserve"> zu</w:t>
      </w:r>
      <w:r w:rsidR="00404D4D">
        <w:rPr>
          <w:rFonts w:asciiTheme="minorHAnsi" w:eastAsia="Arial" w:hAnsiTheme="minorHAnsi" w:cs="Arial"/>
          <w:color w:val="000000"/>
        </w:rPr>
        <w:t xml:space="preserve"> 88.438</w:t>
      </w:r>
      <w:r w:rsidR="00916CF3">
        <w:rPr>
          <w:rFonts w:asciiTheme="minorHAnsi" w:eastAsia="Arial" w:hAnsiTheme="minorHAnsi" w:cs="Arial"/>
          <w:color w:val="000000"/>
        </w:rPr>
        <w:t xml:space="preserve"> (+ 7,19 %)</w:t>
      </w:r>
    </w:p>
    <w:p w:rsidR="008B29D8" w:rsidRPr="008B29D8"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8B29D8">
        <w:rPr>
          <w:rFonts w:asciiTheme="minorHAnsi" w:eastAsia="Arial" w:hAnsiTheme="minorHAnsi" w:cs="Arial"/>
          <w:color w:val="000000"/>
        </w:rPr>
        <w:t>Männer: von 80.092</w:t>
      </w:r>
      <w:r w:rsidR="00404D4D">
        <w:rPr>
          <w:rFonts w:asciiTheme="minorHAnsi" w:eastAsia="Arial" w:hAnsiTheme="minorHAnsi" w:cs="Arial"/>
          <w:color w:val="000000"/>
        </w:rPr>
        <w:t xml:space="preserve"> zu </w:t>
      </w:r>
      <w:r w:rsidR="0011197B">
        <w:rPr>
          <w:rFonts w:asciiTheme="minorHAnsi" w:eastAsia="Arial" w:hAnsiTheme="minorHAnsi" w:cs="Arial"/>
          <w:color w:val="000000"/>
        </w:rPr>
        <w:t>96.749</w:t>
      </w:r>
      <w:r w:rsidR="00916CF3">
        <w:rPr>
          <w:rFonts w:asciiTheme="minorHAnsi" w:eastAsia="Arial" w:hAnsiTheme="minorHAnsi" w:cs="Arial"/>
          <w:color w:val="000000"/>
        </w:rPr>
        <w:t xml:space="preserve"> (+ 20,80)</w:t>
      </w:r>
    </w:p>
    <w:p w:rsidR="008B29D8"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8B29D8">
        <w:rPr>
          <w:rFonts w:asciiTheme="minorHAnsi" w:eastAsia="Arial" w:hAnsiTheme="minorHAnsi" w:cs="Arial"/>
          <w:color w:val="000000"/>
        </w:rPr>
        <w:t>Beschäftigte 55 Jahre u. älter: von 32.122</w:t>
      </w:r>
      <w:r w:rsidR="0011197B">
        <w:rPr>
          <w:rFonts w:asciiTheme="minorHAnsi" w:eastAsia="Arial" w:hAnsiTheme="minorHAnsi" w:cs="Arial"/>
          <w:color w:val="000000"/>
        </w:rPr>
        <w:t xml:space="preserve"> zu 48.116</w:t>
      </w:r>
      <w:r w:rsidR="00916CF3">
        <w:rPr>
          <w:rFonts w:asciiTheme="minorHAnsi" w:eastAsia="Arial" w:hAnsiTheme="minorHAnsi" w:cs="Arial"/>
          <w:color w:val="000000"/>
        </w:rPr>
        <w:t xml:space="preserve"> (+ 49.79 %)</w:t>
      </w:r>
    </w:p>
    <w:p w:rsidR="008B29D8" w:rsidRDefault="008B29D8" w:rsidP="008B29D8">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Niedersachsen:</w:t>
      </w:r>
      <w:r w:rsidR="0011197B">
        <w:rPr>
          <w:rFonts w:asciiTheme="minorHAnsi" w:eastAsia="Arial" w:hAnsiTheme="minorHAnsi" w:cs="Arial"/>
          <w:color w:val="000000"/>
        </w:rPr>
        <w:t xml:space="preserve"> von 27.726 zu 32.564</w:t>
      </w:r>
      <w:r w:rsidR="00916CF3">
        <w:rPr>
          <w:rFonts w:asciiTheme="minorHAnsi" w:eastAsia="Arial" w:hAnsiTheme="minorHAnsi" w:cs="Arial"/>
          <w:color w:val="000000"/>
        </w:rPr>
        <w:t xml:space="preserve"> (+ 17,45 %)</w:t>
      </w:r>
    </w:p>
    <w:p w:rsidR="008B29D8" w:rsidRDefault="008B29D8" w:rsidP="008B29D8">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Bayern: von 36.082 zu</w:t>
      </w:r>
      <w:r w:rsidR="0011197B">
        <w:rPr>
          <w:rFonts w:asciiTheme="minorHAnsi" w:eastAsia="Arial" w:hAnsiTheme="minorHAnsi" w:cs="Arial"/>
          <w:color w:val="000000"/>
        </w:rPr>
        <w:t xml:space="preserve"> 33.749</w:t>
      </w:r>
      <w:r w:rsidR="00916CF3">
        <w:rPr>
          <w:rFonts w:asciiTheme="minorHAnsi" w:eastAsia="Arial" w:hAnsiTheme="minorHAnsi" w:cs="Arial"/>
          <w:color w:val="000000"/>
        </w:rPr>
        <w:t xml:space="preserve"> (- 6,47 %)</w:t>
      </w:r>
    </w:p>
    <w:p w:rsidR="001C3851" w:rsidRDefault="008B29D8" w:rsidP="001C3851">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NRW: von 28.567 zu </w:t>
      </w:r>
      <w:r w:rsidR="0011197B">
        <w:rPr>
          <w:rFonts w:asciiTheme="minorHAnsi" w:eastAsia="Arial" w:hAnsiTheme="minorHAnsi" w:cs="Arial"/>
          <w:color w:val="000000"/>
        </w:rPr>
        <w:t>42.242</w:t>
      </w:r>
      <w:r w:rsidR="00916CF3">
        <w:rPr>
          <w:rFonts w:asciiTheme="minorHAnsi" w:eastAsia="Arial" w:hAnsiTheme="minorHAnsi" w:cs="Arial"/>
          <w:color w:val="000000"/>
        </w:rPr>
        <w:t xml:space="preserve"> (+ 47,87 %)</w:t>
      </w:r>
    </w:p>
    <w:p w:rsidR="001C3851" w:rsidRPr="001C3851" w:rsidRDefault="001C3851" w:rsidP="001C3851">
      <w:pPr>
        <w:pStyle w:val="Listenabsatz"/>
        <w:numPr>
          <w:ilvl w:val="1"/>
          <w:numId w:val="16"/>
        </w:numPr>
        <w:rPr>
          <w:rFonts w:asciiTheme="minorHAnsi" w:eastAsia="Arial" w:hAnsiTheme="minorHAnsi" w:cs="Arial"/>
          <w:color w:val="000000"/>
        </w:rPr>
      </w:pPr>
      <w:r w:rsidRPr="001C3851">
        <w:rPr>
          <w:rFonts w:asciiTheme="minorHAnsi" w:eastAsia="Arial" w:hAnsiTheme="minorHAnsi" w:cs="Arial"/>
          <w:color w:val="000000"/>
        </w:rPr>
        <w:t>Bundesländer mit den meisten Beschäftigten in der Fleis</w:t>
      </w:r>
      <w:r>
        <w:rPr>
          <w:rFonts w:asciiTheme="minorHAnsi" w:eastAsia="Arial" w:hAnsiTheme="minorHAnsi" w:cs="Arial"/>
          <w:color w:val="000000"/>
        </w:rPr>
        <w:t xml:space="preserve">chindustrie 2010: </w:t>
      </w:r>
      <w:r w:rsidRPr="001C3851">
        <w:rPr>
          <w:rFonts w:asciiTheme="minorHAnsi" w:eastAsia="Arial" w:hAnsiTheme="minorHAnsi" w:cs="Arial"/>
          <w:color w:val="000000"/>
        </w:rPr>
        <w:t xml:space="preserve">Bayern, </w:t>
      </w:r>
      <w:r>
        <w:rPr>
          <w:rFonts w:asciiTheme="minorHAnsi" w:eastAsia="Arial" w:hAnsiTheme="minorHAnsi" w:cs="Arial"/>
          <w:color w:val="000000"/>
        </w:rPr>
        <w:t xml:space="preserve">NRW, </w:t>
      </w:r>
      <w:r w:rsidRPr="001C3851">
        <w:rPr>
          <w:rFonts w:asciiTheme="minorHAnsi" w:eastAsia="Arial" w:hAnsiTheme="minorHAnsi" w:cs="Arial"/>
          <w:color w:val="000000"/>
        </w:rPr>
        <w:t>Niedersachsen</w:t>
      </w:r>
    </w:p>
    <w:p w:rsidR="001C3851" w:rsidRPr="001C3851" w:rsidRDefault="001C3851" w:rsidP="001C3851">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Bundesländer mit den meisten Beschäftigten in der Fleischindustrie 2020: NRW, Bayern, Niedersachsen</w:t>
      </w:r>
    </w:p>
    <w:p w:rsidR="008B29D8" w:rsidRPr="003D138D" w:rsidRDefault="008B29D8" w:rsidP="003D138D">
      <w:pPr>
        <w:pStyle w:val="Listenabsatz"/>
        <w:numPr>
          <w:ilvl w:val="0"/>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b/>
          <w:color w:val="000000"/>
        </w:rPr>
        <w:t>Die Anzahl der Beschäftigten im Wirtschaftszweig S</w:t>
      </w:r>
      <w:r w:rsidR="003D138D" w:rsidRPr="003D138D">
        <w:rPr>
          <w:rFonts w:asciiTheme="minorHAnsi" w:eastAsia="Arial" w:hAnsiTheme="minorHAnsi" w:cs="Arial"/>
          <w:b/>
          <w:color w:val="000000"/>
        </w:rPr>
        <w:t xml:space="preserve">chlachthöfe </w:t>
      </w:r>
      <w:r w:rsidRPr="003D138D">
        <w:rPr>
          <w:rFonts w:asciiTheme="minorHAnsi" w:eastAsia="Arial" w:hAnsiTheme="minorHAnsi" w:cs="Arial"/>
          <w:color w:val="000000"/>
        </w:rPr>
        <w:t xml:space="preserve">ist von </w:t>
      </w:r>
      <w:r w:rsidR="003D138D" w:rsidRPr="003D138D">
        <w:rPr>
          <w:rFonts w:asciiTheme="minorHAnsi" w:eastAsia="Arial" w:hAnsiTheme="minorHAnsi" w:cs="Arial"/>
          <w:color w:val="000000"/>
        </w:rPr>
        <w:t xml:space="preserve">31.139 </w:t>
      </w:r>
      <w:r w:rsidRPr="003D138D">
        <w:rPr>
          <w:rFonts w:asciiTheme="minorHAnsi" w:eastAsia="Arial" w:hAnsiTheme="minorHAnsi" w:cs="Arial"/>
          <w:color w:val="000000"/>
        </w:rPr>
        <w:t xml:space="preserve">auf </w:t>
      </w:r>
      <w:r w:rsidR="0011197B">
        <w:rPr>
          <w:rFonts w:asciiTheme="minorHAnsi" w:eastAsia="Arial" w:hAnsiTheme="minorHAnsi" w:cs="Arial"/>
          <w:color w:val="000000"/>
        </w:rPr>
        <w:t xml:space="preserve">34.749 </w:t>
      </w:r>
      <w:r w:rsidRPr="003D138D">
        <w:rPr>
          <w:rFonts w:asciiTheme="minorHAnsi" w:eastAsia="Arial" w:hAnsiTheme="minorHAnsi" w:cs="Arial"/>
          <w:color w:val="000000"/>
        </w:rPr>
        <w:t>angestiegen (+</w:t>
      </w:r>
      <w:r w:rsidR="00B5133F">
        <w:rPr>
          <w:rFonts w:asciiTheme="minorHAnsi" w:eastAsia="Arial" w:hAnsiTheme="minorHAnsi" w:cs="Arial"/>
          <w:color w:val="000000"/>
        </w:rPr>
        <w:t xml:space="preserve"> 11,59</w:t>
      </w:r>
      <w:r w:rsidRPr="003D138D">
        <w:rPr>
          <w:rFonts w:asciiTheme="minorHAnsi" w:eastAsia="Arial" w:hAnsiTheme="minorHAnsi" w:cs="Arial"/>
          <w:color w:val="000000"/>
        </w:rPr>
        <w:t xml:space="preserve"> %) </w:t>
      </w:r>
      <w:r w:rsidR="0011197B">
        <w:rPr>
          <w:rFonts w:asciiTheme="minorHAnsi" w:eastAsia="Arial" w:hAnsiTheme="minorHAnsi" w:cs="Arial"/>
          <w:color w:val="000000"/>
        </w:rPr>
        <w:t>(s. Frage 1, Tab. 3</w:t>
      </w:r>
      <w:r w:rsidRPr="003D138D">
        <w:rPr>
          <w:rFonts w:asciiTheme="minorHAnsi" w:eastAsia="Arial" w:hAnsiTheme="minorHAnsi" w:cs="Arial"/>
          <w:color w:val="000000"/>
        </w:rPr>
        <w:t xml:space="preserve"> und </w:t>
      </w:r>
      <w:proofErr w:type="spellStart"/>
      <w:r w:rsidRPr="003D138D">
        <w:rPr>
          <w:rFonts w:asciiTheme="minorHAnsi" w:eastAsia="Arial" w:hAnsiTheme="minorHAnsi" w:cs="Arial"/>
          <w:color w:val="000000"/>
        </w:rPr>
        <w:t>Drs</w:t>
      </w:r>
      <w:proofErr w:type="spellEnd"/>
      <w:r w:rsidRPr="003D138D">
        <w:rPr>
          <w:rFonts w:asciiTheme="minorHAnsi" w:eastAsia="Arial" w:hAnsiTheme="minorHAnsi" w:cs="Arial"/>
          <w:color w:val="000000"/>
        </w:rPr>
        <w:t xml:space="preserve">. 19/11284 Frage 1, </w:t>
      </w:r>
      <w:r w:rsidR="003D138D">
        <w:rPr>
          <w:rFonts w:asciiTheme="minorHAnsi" w:eastAsia="Arial" w:hAnsiTheme="minorHAnsi" w:cs="Arial"/>
          <w:color w:val="000000"/>
        </w:rPr>
        <w:t>Tabelle 3</w:t>
      </w:r>
      <w:r w:rsidRPr="003D138D">
        <w:rPr>
          <w:rFonts w:asciiTheme="minorHAnsi" w:eastAsia="Arial" w:hAnsiTheme="minorHAnsi" w:cs="Arial"/>
          <w:color w:val="000000"/>
        </w:rPr>
        <w:t>),</w:t>
      </w:r>
      <w:r w:rsidR="003D138D" w:rsidRPr="003D138D">
        <w:t xml:space="preserve"> </w:t>
      </w:r>
      <w:r w:rsidR="003D138D" w:rsidRPr="003D138D">
        <w:rPr>
          <w:rFonts w:asciiTheme="minorHAnsi" w:eastAsia="Arial" w:hAnsiTheme="minorHAnsi" w:cs="Arial"/>
          <w:color w:val="000000"/>
        </w:rPr>
        <w:t xml:space="preserve">von 2010 zu 2020 </w:t>
      </w:r>
      <w:r w:rsidRPr="003D138D">
        <w:rPr>
          <w:rFonts w:asciiTheme="minorHAnsi" w:eastAsia="Arial" w:hAnsiTheme="minorHAnsi" w:cs="Arial"/>
          <w:color w:val="000000"/>
        </w:rPr>
        <w:t>:</w:t>
      </w:r>
    </w:p>
    <w:p w:rsidR="008B29D8" w:rsidRPr="003D138D" w:rsidRDefault="003D138D"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ausländische</w:t>
      </w:r>
      <w:r w:rsidR="008B29D8" w:rsidRPr="003D138D">
        <w:rPr>
          <w:rFonts w:asciiTheme="minorHAnsi" w:eastAsia="Arial" w:hAnsiTheme="minorHAnsi" w:cs="Arial"/>
          <w:color w:val="000000"/>
        </w:rPr>
        <w:t xml:space="preserve"> Beschäftigte:</w:t>
      </w:r>
      <w:r w:rsidRPr="003D138D">
        <w:rPr>
          <w:rFonts w:asciiTheme="minorHAnsi" w:eastAsia="Arial" w:hAnsiTheme="minorHAnsi" w:cs="Arial"/>
          <w:color w:val="000000"/>
        </w:rPr>
        <w:t xml:space="preserve"> von 4.615</w:t>
      </w:r>
      <w:r w:rsidR="008B29D8" w:rsidRPr="003D138D">
        <w:rPr>
          <w:rFonts w:asciiTheme="minorHAnsi" w:eastAsia="Arial" w:hAnsiTheme="minorHAnsi" w:cs="Arial"/>
          <w:color w:val="000000"/>
        </w:rPr>
        <w:t xml:space="preserve"> auf </w:t>
      </w:r>
      <w:r w:rsidR="0011197B">
        <w:rPr>
          <w:rFonts w:asciiTheme="minorHAnsi" w:eastAsia="Arial" w:hAnsiTheme="minorHAnsi" w:cs="Arial"/>
          <w:color w:val="000000"/>
        </w:rPr>
        <w:t xml:space="preserve">18.028 </w:t>
      </w:r>
      <w:r w:rsidR="001F710B">
        <w:rPr>
          <w:rFonts w:asciiTheme="minorHAnsi" w:eastAsia="Arial" w:hAnsiTheme="minorHAnsi" w:cs="Arial"/>
          <w:color w:val="000000"/>
        </w:rPr>
        <w:t xml:space="preserve">(+290,64 </w:t>
      </w:r>
      <w:r w:rsidR="008B29D8" w:rsidRPr="003D138D">
        <w:rPr>
          <w:rFonts w:asciiTheme="minorHAnsi" w:eastAsia="Arial" w:hAnsiTheme="minorHAnsi" w:cs="Arial"/>
          <w:color w:val="000000"/>
        </w:rPr>
        <w:t>%)</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Frauen: </w:t>
      </w:r>
      <w:r w:rsidR="003D138D" w:rsidRPr="003D138D">
        <w:rPr>
          <w:rFonts w:asciiTheme="minorHAnsi" w:eastAsia="Arial" w:hAnsiTheme="minorHAnsi" w:cs="Arial"/>
          <w:color w:val="000000"/>
        </w:rPr>
        <w:t>von 10.666</w:t>
      </w:r>
      <w:r w:rsidR="0011197B">
        <w:rPr>
          <w:rFonts w:asciiTheme="minorHAnsi" w:eastAsia="Arial" w:hAnsiTheme="minorHAnsi" w:cs="Arial"/>
          <w:color w:val="000000"/>
        </w:rPr>
        <w:t xml:space="preserve"> zu 10.917</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Männer: von</w:t>
      </w:r>
      <w:r w:rsidR="003D138D" w:rsidRPr="003D138D">
        <w:rPr>
          <w:rFonts w:asciiTheme="minorHAnsi" w:eastAsia="Arial" w:hAnsiTheme="minorHAnsi" w:cs="Arial"/>
          <w:color w:val="000000"/>
        </w:rPr>
        <w:t xml:space="preserve"> 20.473</w:t>
      </w:r>
      <w:r w:rsidR="0011197B">
        <w:rPr>
          <w:rFonts w:asciiTheme="minorHAnsi" w:eastAsia="Arial" w:hAnsiTheme="minorHAnsi" w:cs="Arial"/>
          <w:color w:val="000000"/>
        </w:rPr>
        <w:t xml:space="preserve"> zu 23.832</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Beschäftigte 55 Jahre u. älter: von </w:t>
      </w:r>
      <w:r w:rsidR="003D138D" w:rsidRPr="003D138D">
        <w:rPr>
          <w:rFonts w:asciiTheme="minorHAnsi" w:eastAsia="Arial" w:hAnsiTheme="minorHAnsi" w:cs="Arial"/>
          <w:color w:val="000000"/>
        </w:rPr>
        <w:t>5.275</w:t>
      </w:r>
      <w:r w:rsidR="0011197B">
        <w:rPr>
          <w:rFonts w:asciiTheme="minorHAnsi" w:eastAsia="Arial" w:hAnsiTheme="minorHAnsi" w:cs="Arial"/>
          <w:color w:val="000000"/>
        </w:rPr>
        <w:t xml:space="preserve"> zu 7.031</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Niedersachsen:</w:t>
      </w:r>
      <w:r w:rsidR="003D138D" w:rsidRPr="003D138D">
        <w:rPr>
          <w:rFonts w:asciiTheme="minorHAnsi" w:eastAsia="Arial" w:hAnsiTheme="minorHAnsi" w:cs="Arial"/>
          <w:color w:val="000000"/>
        </w:rPr>
        <w:t xml:space="preserve"> von 9.124</w:t>
      </w:r>
      <w:r w:rsidR="0011197B">
        <w:rPr>
          <w:rFonts w:asciiTheme="minorHAnsi" w:eastAsia="Arial" w:hAnsiTheme="minorHAnsi" w:cs="Arial"/>
          <w:color w:val="000000"/>
        </w:rPr>
        <w:t xml:space="preserve"> zu 10.284</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Bayern: von </w:t>
      </w:r>
      <w:r w:rsidR="003D138D" w:rsidRPr="003D138D">
        <w:rPr>
          <w:rFonts w:asciiTheme="minorHAnsi" w:eastAsia="Arial" w:hAnsiTheme="minorHAnsi" w:cs="Arial"/>
          <w:color w:val="000000"/>
        </w:rPr>
        <w:t>3.504</w:t>
      </w:r>
      <w:r w:rsidRPr="003D138D">
        <w:rPr>
          <w:rFonts w:asciiTheme="minorHAnsi" w:eastAsia="Arial" w:hAnsiTheme="minorHAnsi" w:cs="Arial"/>
          <w:color w:val="000000"/>
        </w:rPr>
        <w:t xml:space="preserve"> zu</w:t>
      </w:r>
      <w:r w:rsidR="0011197B">
        <w:rPr>
          <w:rFonts w:asciiTheme="minorHAnsi" w:eastAsia="Arial" w:hAnsiTheme="minorHAnsi" w:cs="Arial"/>
          <w:color w:val="000000"/>
        </w:rPr>
        <w:t xml:space="preserve"> 4.478</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lastRenderedPageBreak/>
        <w:t>NRW:</w:t>
      </w:r>
      <w:r w:rsidR="003D138D" w:rsidRPr="003D138D">
        <w:rPr>
          <w:rFonts w:asciiTheme="minorHAnsi" w:eastAsia="Arial" w:hAnsiTheme="minorHAnsi" w:cs="Arial"/>
          <w:color w:val="000000"/>
        </w:rPr>
        <w:t xml:space="preserve"> von 6.084</w:t>
      </w:r>
      <w:r w:rsidRPr="003D138D">
        <w:rPr>
          <w:rFonts w:asciiTheme="minorHAnsi" w:eastAsia="Arial" w:hAnsiTheme="minorHAnsi" w:cs="Arial"/>
          <w:color w:val="000000"/>
        </w:rPr>
        <w:t xml:space="preserve"> zu </w:t>
      </w:r>
      <w:r w:rsidR="0011197B">
        <w:rPr>
          <w:rFonts w:asciiTheme="minorHAnsi" w:eastAsia="Arial" w:hAnsiTheme="minorHAnsi" w:cs="Arial"/>
          <w:color w:val="000000"/>
        </w:rPr>
        <w:t>9.579</w:t>
      </w:r>
    </w:p>
    <w:p w:rsidR="008B29D8" w:rsidRPr="003D138D" w:rsidRDefault="008B29D8" w:rsidP="008B29D8">
      <w:pPr>
        <w:pStyle w:val="Listenabsatz"/>
        <w:numPr>
          <w:ilvl w:val="0"/>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b/>
          <w:color w:val="000000"/>
        </w:rPr>
        <w:t xml:space="preserve">Die Anzahl der Beschäftigten im Wirtschaftszweig Fleischverarbeitung </w:t>
      </w:r>
      <w:r w:rsidRPr="003D138D">
        <w:rPr>
          <w:rFonts w:asciiTheme="minorHAnsi" w:eastAsia="Arial" w:hAnsiTheme="minorHAnsi" w:cs="Arial"/>
          <w:color w:val="000000"/>
        </w:rPr>
        <w:t>ist von</w:t>
      </w:r>
      <w:r w:rsidR="003D138D" w:rsidRPr="003D138D">
        <w:rPr>
          <w:rFonts w:asciiTheme="minorHAnsi" w:eastAsia="Arial" w:hAnsiTheme="minorHAnsi" w:cs="Arial"/>
          <w:color w:val="000000"/>
        </w:rPr>
        <w:t xml:space="preserve"> 144.238 im Jahr 2010</w:t>
      </w:r>
      <w:r w:rsidRPr="003D138D">
        <w:rPr>
          <w:rFonts w:asciiTheme="minorHAnsi" w:eastAsia="Arial" w:hAnsiTheme="minorHAnsi" w:cs="Arial"/>
          <w:color w:val="000000"/>
        </w:rPr>
        <w:t xml:space="preserve"> auf </w:t>
      </w:r>
      <w:r w:rsidR="003971F0">
        <w:rPr>
          <w:rFonts w:asciiTheme="minorHAnsi" w:eastAsia="Arial" w:hAnsiTheme="minorHAnsi" w:cs="Arial"/>
          <w:color w:val="000000"/>
        </w:rPr>
        <w:t>150.438</w:t>
      </w:r>
      <w:r w:rsidRPr="003D138D">
        <w:rPr>
          <w:rFonts w:asciiTheme="minorHAnsi" w:eastAsia="Arial" w:hAnsiTheme="minorHAnsi" w:cs="Arial"/>
          <w:color w:val="000000"/>
        </w:rPr>
        <w:t xml:space="preserve"> im Jahr 2020 angestiegen (+ </w:t>
      </w:r>
      <w:r w:rsidR="00B5133F">
        <w:rPr>
          <w:rFonts w:asciiTheme="minorHAnsi" w:eastAsia="Arial" w:hAnsiTheme="minorHAnsi" w:cs="Arial"/>
          <w:color w:val="000000"/>
        </w:rPr>
        <w:t>4,30</w:t>
      </w:r>
      <w:r w:rsidRPr="003D138D">
        <w:rPr>
          <w:rFonts w:asciiTheme="minorHAnsi" w:eastAsia="Arial" w:hAnsiTheme="minorHAnsi" w:cs="Arial"/>
          <w:color w:val="000000"/>
        </w:rPr>
        <w:t xml:space="preserve"> %) (s. Frage 1, Tabelle</w:t>
      </w:r>
      <w:r w:rsidR="003D138D">
        <w:rPr>
          <w:rFonts w:asciiTheme="minorHAnsi" w:eastAsia="Arial" w:hAnsiTheme="minorHAnsi" w:cs="Arial"/>
          <w:color w:val="000000"/>
        </w:rPr>
        <w:t xml:space="preserve"> 4</w:t>
      </w:r>
      <w:r w:rsidRPr="003D138D">
        <w:rPr>
          <w:rFonts w:asciiTheme="minorHAnsi" w:eastAsia="Arial" w:hAnsiTheme="minorHAnsi" w:cs="Arial"/>
          <w:color w:val="000000"/>
        </w:rPr>
        <w:t xml:space="preserve"> und </w:t>
      </w:r>
      <w:proofErr w:type="spellStart"/>
      <w:r w:rsidRPr="003D138D">
        <w:rPr>
          <w:rFonts w:asciiTheme="minorHAnsi" w:eastAsia="Arial" w:hAnsiTheme="minorHAnsi" w:cs="Arial"/>
          <w:color w:val="000000"/>
        </w:rPr>
        <w:t>Drs</w:t>
      </w:r>
      <w:proofErr w:type="spellEnd"/>
      <w:r w:rsidRPr="003D138D">
        <w:rPr>
          <w:rFonts w:asciiTheme="minorHAnsi" w:eastAsia="Arial" w:hAnsiTheme="minorHAnsi" w:cs="Arial"/>
          <w:color w:val="000000"/>
        </w:rPr>
        <w:t xml:space="preserve">. 19/11284 Frage 1, </w:t>
      </w:r>
      <w:r w:rsidR="0011197B">
        <w:rPr>
          <w:rFonts w:asciiTheme="minorHAnsi" w:eastAsia="Arial" w:hAnsiTheme="minorHAnsi" w:cs="Arial"/>
          <w:color w:val="000000"/>
        </w:rPr>
        <w:t>Tabelle 4</w:t>
      </w:r>
      <w:r w:rsidRPr="003D138D">
        <w:rPr>
          <w:rFonts w:asciiTheme="minorHAnsi" w:eastAsia="Arial" w:hAnsiTheme="minorHAnsi" w:cs="Arial"/>
          <w:color w:val="000000"/>
        </w:rPr>
        <w:t xml:space="preserve">), </w:t>
      </w:r>
      <w:r w:rsidR="00404D4D">
        <w:rPr>
          <w:rFonts w:asciiTheme="minorHAnsi" w:eastAsia="Arial" w:hAnsiTheme="minorHAnsi" w:cs="Arial"/>
          <w:color w:val="000000"/>
        </w:rPr>
        <w:t>von 2010 zu</w:t>
      </w:r>
      <w:r w:rsidRPr="003D138D">
        <w:rPr>
          <w:rFonts w:asciiTheme="minorHAnsi" w:eastAsia="Arial" w:hAnsiTheme="minorHAnsi" w:cs="Arial"/>
          <w:color w:val="000000"/>
        </w:rPr>
        <w:t xml:space="preserve"> 2020:</w:t>
      </w:r>
    </w:p>
    <w:p w:rsidR="008B29D8" w:rsidRPr="003D138D" w:rsidRDefault="003D138D"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ausländische</w:t>
      </w:r>
      <w:r w:rsidR="008B29D8" w:rsidRPr="003D138D">
        <w:rPr>
          <w:rFonts w:asciiTheme="minorHAnsi" w:eastAsia="Arial" w:hAnsiTheme="minorHAnsi" w:cs="Arial"/>
          <w:color w:val="000000"/>
        </w:rPr>
        <w:t xml:space="preserve"> B</w:t>
      </w:r>
      <w:r w:rsidRPr="003D138D">
        <w:rPr>
          <w:rFonts w:asciiTheme="minorHAnsi" w:eastAsia="Arial" w:hAnsiTheme="minorHAnsi" w:cs="Arial"/>
          <w:color w:val="000000"/>
        </w:rPr>
        <w:t>eschäftigte</w:t>
      </w:r>
      <w:r w:rsidR="008B29D8" w:rsidRPr="003D138D">
        <w:rPr>
          <w:rFonts w:asciiTheme="minorHAnsi" w:eastAsia="Arial" w:hAnsiTheme="minorHAnsi" w:cs="Arial"/>
          <w:color w:val="000000"/>
        </w:rPr>
        <w:t>:</w:t>
      </w:r>
      <w:r w:rsidRPr="003D138D">
        <w:rPr>
          <w:rFonts w:asciiTheme="minorHAnsi" w:eastAsia="Arial" w:hAnsiTheme="minorHAnsi" w:cs="Arial"/>
          <w:color w:val="000000"/>
        </w:rPr>
        <w:t xml:space="preserve"> von 11.839</w:t>
      </w:r>
      <w:r w:rsidR="007108EE">
        <w:rPr>
          <w:rFonts w:asciiTheme="minorHAnsi" w:eastAsia="Arial" w:hAnsiTheme="minorHAnsi" w:cs="Arial"/>
          <w:color w:val="000000"/>
        </w:rPr>
        <w:t xml:space="preserve"> zu 40.256</w:t>
      </w:r>
      <w:r w:rsidR="001F710B">
        <w:rPr>
          <w:rFonts w:asciiTheme="minorHAnsi" w:eastAsia="Arial" w:hAnsiTheme="minorHAnsi" w:cs="Arial"/>
          <w:color w:val="000000"/>
        </w:rPr>
        <w:t xml:space="preserve"> (+ 240,03 </w:t>
      </w:r>
      <w:r w:rsidR="008B29D8" w:rsidRPr="003D138D">
        <w:rPr>
          <w:rFonts w:asciiTheme="minorHAnsi" w:eastAsia="Arial" w:hAnsiTheme="minorHAnsi" w:cs="Arial"/>
          <w:color w:val="000000"/>
        </w:rPr>
        <w:t>%)</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Frauen: </w:t>
      </w:r>
      <w:r w:rsidR="003D138D" w:rsidRPr="003D138D">
        <w:rPr>
          <w:rFonts w:asciiTheme="minorHAnsi" w:eastAsia="Arial" w:hAnsiTheme="minorHAnsi" w:cs="Arial"/>
          <w:color w:val="000000"/>
        </w:rPr>
        <w:t>von 84.619</w:t>
      </w:r>
      <w:r w:rsidR="007108EE">
        <w:rPr>
          <w:rFonts w:asciiTheme="minorHAnsi" w:eastAsia="Arial" w:hAnsiTheme="minorHAnsi" w:cs="Arial"/>
          <w:color w:val="000000"/>
        </w:rPr>
        <w:t xml:space="preserve"> zu 77.521</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Männer: von</w:t>
      </w:r>
      <w:r w:rsidR="003D138D" w:rsidRPr="003D138D">
        <w:rPr>
          <w:rFonts w:asciiTheme="minorHAnsi" w:eastAsia="Arial" w:hAnsiTheme="minorHAnsi" w:cs="Arial"/>
          <w:color w:val="000000"/>
        </w:rPr>
        <w:t xml:space="preserve"> 59.619</w:t>
      </w:r>
      <w:r w:rsidR="007108EE">
        <w:rPr>
          <w:rFonts w:asciiTheme="minorHAnsi" w:eastAsia="Arial" w:hAnsiTheme="minorHAnsi" w:cs="Arial"/>
          <w:color w:val="000000"/>
        </w:rPr>
        <w:t xml:space="preserve"> zu 72.917</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Beschäftigte 55 Jahre u. älter: </w:t>
      </w:r>
      <w:r w:rsidR="003D138D" w:rsidRPr="003D138D">
        <w:rPr>
          <w:rFonts w:asciiTheme="minorHAnsi" w:eastAsia="Arial" w:hAnsiTheme="minorHAnsi" w:cs="Arial"/>
          <w:color w:val="000000"/>
        </w:rPr>
        <w:t>von 26.847</w:t>
      </w:r>
      <w:r w:rsidR="007108EE">
        <w:rPr>
          <w:rFonts w:asciiTheme="minorHAnsi" w:eastAsia="Arial" w:hAnsiTheme="minorHAnsi" w:cs="Arial"/>
          <w:color w:val="000000"/>
        </w:rPr>
        <w:t xml:space="preserve"> zu 41.085</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Niedersachsen:</w:t>
      </w:r>
      <w:r w:rsidR="003D138D" w:rsidRPr="003D138D">
        <w:rPr>
          <w:rFonts w:asciiTheme="minorHAnsi" w:eastAsia="Arial" w:hAnsiTheme="minorHAnsi" w:cs="Arial"/>
          <w:color w:val="000000"/>
        </w:rPr>
        <w:t xml:space="preserve"> von 18.602</w:t>
      </w:r>
      <w:r w:rsidR="007108EE">
        <w:rPr>
          <w:rFonts w:asciiTheme="minorHAnsi" w:eastAsia="Arial" w:hAnsiTheme="minorHAnsi" w:cs="Arial"/>
          <w:color w:val="000000"/>
        </w:rPr>
        <w:t xml:space="preserve"> zu 22.280</w:t>
      </w:r>
    </w:p>
    <w:p w:rsidR="008B29D8" w:rsidRPr="003D138D" w:rsidRDefault="008B29D8" w:rsidP="008B29D8">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 xml:space="preserve">Bayern: von </w:t>
      </w:r>
      <w:r w:rsidR="003D138D" w:rsidRPr="003D138D">
        <w:rPr>
          <w:rFonts w:asciiTheme="minorHAnsi" w:eastAsia="Arial" w:hAnsiTheme="minorHAnsi" w:cs="Arial"/>
          <w:color w:val="000000"/>
        </w:rPr>
        <w:t>32.578</w:t>
      </w:r>
      <w:r w:rsidRPr="003D138D">
        <w:rPr>
          <w:rFonts w:asciiTheme="minorHAnsi" w:eastAsia="Arial" w:hAnsiTheme="minorHAnsi" w:cs="Arial"/>
          <w:color w:val="000000"/>
        </w:rPr>
        <w:t xml:space="preserve"> zu</w:t>
      </w:r>
      <w:r w:rsidR="007108EE">
        <w:rPr>
          <w:rFonts w:asciiTheme="minorHAnsi" w:eastAsia="Arial" w:hAnsiTheme="minorHAnsi" w:cs="Arial"/>
          <w:color w:val="000000"/>
        </w:rPr>
        <w:t xml:space="preserve"> 29.271</w:t>
      </w:r>
    </w:p>
    <w:p w:rsidR="00F82C9C" w:rsidRPr="00404D4D" w:rsidRDefault="008B29D8" w:rsidP="00404D4D">
      <w:pPr>
        <w:pStyle w:val="Listenabsatz"/>
        <w:numPr>
          <w:ilvl w:val="1"/>
          <w:numId w:val="16"/>
        </w:numPr>
        <w:spacing w:after="0" w:line="240" w:lineRule="auto"/>
        <w:jc w:val="both"/>
        <w:rPr>
          <w:rFonts w:asciiTheme="minorHAnsi" w:eastAsia="Arial" w:hAnsiTheme="minorHAnsi" w:cs="Arial"/>
          <w:color w:val="000000"/>
        </w:rPr>
      </w:pPr>
      <w:r w:rsidRPr="003D138D">
        <w:rPr>
          <w:rFonts w:asciiTheme="minorHAnsi" w:eastAsia="Arial" w:hAnsiTheme="minorHAnsi" w:cs="Arial"/>
          <w:color w:val="000000"/>
        </w:rPr>
        <w:t>NRW:</w:t>
      </w:r>
      <w:r w:rsidR="003D138D" w:rsidRPr="003D138D">
        <w:rPr>
          <w:rFonts w:asciiTheme="minorHAnsi" w:eastAsia="Arial" w:hAnsiTheme="minorHAnsi" w:cs="Arial"/>
          <w:color w:val="000000"/>
        </w:rPr>
        <w:t xml:space="preserve"> von 22.483</w:t>
      </w:r>
      <w:r w:rsidRPr="003D138D">
        <w:rPr>
          <w:rFonts w:asciiTheme="minorHAnsi" w:eastAsia="Arial" w:hAnsiTheme="minorHAnsi" w:cs="Arial"/>
          <w:color w:val="000000"/>
        </w:rPr>
        <w:t xml:space="preserve"> zu </w:t>
      </w:r>
      <w:r w:rsidR="007108EE">
        <w:rPr>
          <w:rFonts w:asciiTheme="minorHAnsi" w:eastAsia="Arial" w:hAnsiTheme="minorHAnsi" w:cs="Arial"/>
          <w:color w:val="000000"/>
        </w:rPr>
        <w:t>32.663</w:t>
      </w:r>
    </w:p>
    <w:p w:rsidR="00F82C9C" w:rsidRPr="00404D4D" w:rsidRDefault="00F82C9C" w:rsidP="00F82C9C">
      <w:pPr>
        <w:pStyle w:val="Listenabsatz"/>
        <w:numPr>
          <w:ilvl w:val="0"/>
          <w:numId w:val="16"/>
        </w:numPr>
        <w:spacing w:after="0" w:line="240" w:lineRule="auto"/>
        <w:jc w:val="both"/>
        <w:rPr>
          <w:rFonts w:asciiTheme="minorHAnsi" w:eastAsia="Arial" w:hAnsiTheme="minorHAnsi" w:cs="Arial"/>
          <w:b/>
          <w:color w:val="000000"/>
        </w:rPr>
      </w:pPr>
      <w:r w:rsidRPr="00404D4D">
        <w:rPr>
          <w:rFonts w:asciiTheme="minorHAnsi" w:eastAsia="Arial" w:hAnsiTheme="minorHAnsi" w:cs="Arial"/>
          <w:b/>
          <w:color w:val="000000"/>
        </w:rPr>
        <w:t xml:space="preserve">Die Anzahl der Auszubildenden in der Fleischindustrie </w:t>
      </w:r>
      <w:r w:rsidRPr="00404D4D">
        <w:rPr>
          <w:rFonts w:asciiTheme="minorHAnsi" w:eastAsia="Arial" w:hAnsiTheme="minorHAnsi" w:cs="Arial"/>
          <w:color w:val="000000"/>
        </w:rPr>
        <w:t>ist vo</w:t>
      </w:r>
      <w:r w:rsidR="00404D4D" w:rsidRPr="00404D4D">
        <w:rPr>
          <w:rFonts w:asciiTheme="minorHAnsi" w:eastAsia="Arial" w:hAnsiTheme="minorHAnsi" w:cs="Arial"/>
          <w:color w:val="000000"/>
        </w:rPr>
        <w:t xml:space="preserve">n 8.626 auf </w:t>
      </w:r>
      <w:r w:rsidR="007108EE">
        <w:rPr>
          <w:rFonts w:asciiTheme="minorHAnsi" w:eastAsia="Arial" w:hAnsiTheme="minorHAnsi" w:cs="Arial"/>
          <w:color w:val="000000"/>
        </w:rPr>
        <w:t xml:space="preserve">4.094 </w:t>
      </w:r>
      <w:r w:rsidRPr="00404D4D">
        <w:rPr>
          <w:rFonts w:asciiTheme="minorHAnsi" w:eastAsia="Arial" w:hAnsiTheme="minorHAnsi" w:cs="Arial"/>
          <w:color w:val="000000"/>
        </w:rPr>
        <w:t>gesunken (-</w:t>
      </w:r>
      <w:r w:rsidR="00396C8F">
        <w:rPr>
          <w:rFonts w:asciiTheme="minorHAnsi" w:eastAsia="Arial" w:hAnsiTheme="minorHAnsi" w:cs="Arial"/>
          <w:color w:val="000000"/>
        </w:rPr>
        <w:t xml:space="preserve"> 52,54</w:t>
      </w:r>
      <w:r w:rsidR="00B5133F">
        <w:rPr>
          <w:rFonts w:asciiTheme="minorHAnsi" w:eastAsia="Arial" w:hAnsiTheme="minorHAnsi" w:cs="Arial"/>
          <w:color w:val="000000"/>
        </w:rPr>
        <w:t xml:space="preserve"> </w:t>
      </w:r>
      <w:r w:rsidRPr="00404D4D">
        <w:rPr>
          <w:rFonts w:asciiTheme="minorHAnsi" w:eastAsia="Arial" w:hAnsiTheme="minorHAnsi" w:cs="Arial"/>
          <w:color w:val="000000"/>
        </w:rPr>
        <w:t xml:space="preserve">%) (s. Frage 2, Tabelle 1+5 und </w:t>
      </w:r>
      <w:proofErr w:type="spellStart"/>
      <w:r w:rsidRPr="00404D4D">
        <w:rPr>
          <w:rFonts w:asciiTheme="minorHAnsi" w:eastAsia="Arial" w:hAnsiTheme="minorHAnsi" w:cs="Arial"/>
          <w:color w:val="000000"/>
        </w:rPr>
        <w:t>Drs</w:t>
      </w:r>
      <w:proofErr w:type="spellEnd"/>
      <w:r w:rsidRPr="00404D4D">
        <w:rPr>
          <w:rFonts w:asciiTheme="minorHAnsi" w:eastAsia="Arial" w:hAnsiTheme="minorHAnsi" w:cs="Arial"/>
          <w:color w:val="000000"/>
        </w:rPr>
        <w:t>. 19/11284 Frage 2, Tabelle 3)</w:t>
      </w:r>
      <w:r w:rsidR="00404D4D" w:rsidRPr="00404D4D">
        <w:rPr>
          <w:rFonts w:asciiTheme="minorHAnsi" w:eastAsia="Arial" w:hAnsiTheme="minorHAnsi" w:cs="Arial"/>
          <w:color w:val="000000"/>
        </w:rPr>
        <w:t>, von 2010 zu 2020</w:t>
      </w:r>
      <w:r w:rsidRPr="00404D4D">
        <w:rPr>
          <w:rFonts w:asciiTheme="minorHAnsi" w:eastAsia="Arial" w:hAnsiTheme="minorHAnsi" w:cs="Arial"/>
          <w:color w:val="000000"/>
        </w:rPr>
        <w:t>:</w:t>
      </w:r>
    </w:p>
    <w:p w:rsidR="00F82C9C" w:rsidRPr="00404D4D" w:rsidRDefault="00F82C9C" w:rsidP="00F82C9C">
      <w:pPr>
        <w:pStyle w:val="Listenabsatz"/>
        <w:numPr>
          <w:ilvl w:val="1"/>
          <w:numId w:val="16"/>
        </w:numPr>
        <w:spacing w:after="0" w:line="240" w:lineRule="auto"/>
        <w:jc w:val="both"/>
        <w:rPr>
          <w:rFonts w:asciiTheme="minorHAnsi" w:eastAsia="Arial" w:hAnsiTheme="minorHAnsi" w:cs="Arial"/>
          <w:color w:val="000000"/>
        </w:rPr>
      </w:pPr>
      <w:r w:rsidRPr="00404D4D">
        <w:rPr>
          <w:rFonts w:asciiTheme="minorHAnsi" w:eastAsia="Arial" w:hAnsiTheme="minorHAnsi" w:cs="Arial"/>
          <w:color w:val="000000"/>
        </w:rPr>
        <w:t>Auszubildende Schlachthöfe:</w:t>
      </w:r>
      <w:r w:rsidR="00404D4D" w:rsidRPr="00404D4D">
        <w:rPr>
          <w:rFonts w:asciiTheme="minorHAnsi" w:eastAsia="Arial" w:hAnsiTheme="minorHAnsi" w:cs="Arial"/>
          <w:color w:val="000000"/>
        </w:rPr>
        <w:t xml:space="preserve"> 810 zu</w:t>
      </w:r>
      <w:r w:rsidR="007108EE">
        <w:rPr>
          <w:rFonts w:asciiTheme="minorHAnsi" w:eastAsia="Arial" w:hAnsiTheme="minorHAnsi" w:cs="Arial"/>
          <w:color w:val="000000"/>
        </w:rPr>
        <w:t xml:space="preserve"> 598</w:t>
      </w:r>
    </w:p>
    <w:p w:rsidR="00404D4D" w:rsidRPr="00404D4D" w:rsidRDefault="00404D4D" w:rsidP="00404D4D">
      <w:pPr>
        <w:pStyle w:val="Listenabsatz"/>
        <w:numPr>
          <w:ilvl w:val="1"/>
          <w:numId w:val="16"/>
        </w:numPr>
        <w:spacing w:after="0" w:line="240" w:lineRule="auto"/>
        <w:jc w:val="both"/>
        <w:rPr>
          <w:rFonts w:asciiTheme="minorHAnsi" w:eastAsia="Arial" w:hAnsiTheme="minorHAnsi" w:cs="Arial"/>
          <w:color w:val="000000"/>
        </w:rPr>
      </w:pPr>
      <w:r w:rsidRPr="00404D4D">
        <w:rPr>
          <w:rFonts w:asciiTheme="minorHAnsi" w:eastAsia="Arial" w:hAnsiTheme="minorHAnsi" w:cs="Arial"/>
          <w:color w:val="000000"/>
        </w:rPr>
        <w:t>Auszubildende Fleischverarbeitung: 7.816</w:t>
      </w:r>
      <w:r w:rsidR="007108EE">
        <w:rPr>
          <w:rFonts w:asciiTheme="minorHAnsi" w:eastAsia="Arial" w:hAnsiTheme="minorHAnsi" w:cs="Arial"/>
          <w:color w:val="000000"/>
        </w:rPr>
        <w:t xml:space="preserve"> zu 3.596</w:t>
      </w:r>
    </w:p>
    <w:p w:rsidR="00404D4D" w:rsidRPr="00404D4D" w:rsidRDefault="00404D4D" w:rsidP="00404D4D">
      <w:pPr>
        <w:pStyle w:val="Listenabsatz"/>
        <w:numPr>
          <w:ilvl w:val="1"/>
          <w:numId w:val="16"/>
        </w:numPr>
        <w:spacing w:after="0" w:line="240" w:lineRule="auto"/>
        <w:jc w:val="both"/>
        <w:rPr>
          <w:rFonts w:asciiTheme="minorHAnsi" w:eastAsia="Arial" w:hAnsiTheme="minorHAnsi" w:cs="Arial"/>
          <w:color w:val="000000"/>
        </w:rPr>
      </w:pPr>
      <w:r w:rsidRPr="00404D4D">
        <w:rPr>
          <w:rFonts w:asciiTheme="minorHAnsi" w:eastAsia="Arial" w:hAnsiTheme="minorHAnsi" w:cs="Arial"/>
          <w:color w:val="000000"/>
        </w:rPr>
        <w:t>Niedersachsen: 833</w:t>
      </w:r>
      <w:r w:rsidR="007108EE">
        <w:rPr>
          <w:rFonts w:asciiTheme="minorHAnsi" w:eastAsia="Arial" w:hAnsiTheme="minorHAnsi" w:cs="Arial"/>
          <w:color w:val="000000"/>
        </w:rPr>
        <w:t xml:space="preserve"> zu 567</w:t>
      </w:r>
    </w:p>
    <w:p w:rsidR="00404D4D" w:rsidRPr="00404D4D" w:rsidRDefault="00404D4D" w:rsidP="00F82C9C">
      <w:pPr>
        <w:pStyle w:val="Listenabsatz"/>
        <w:numPr>
          <w:ilvl w:val="1"/>
          <w:numId w:val="16"/>
        </w:numPr>
        <w:spacing w:after="0" w:line="240" w:lineRule="auto"/>
        <w:jc w:val="both"/>
        <w:rPr>
          <w:rFonts w:asciiTheme="minorHAnsi" w:eastAsia="Arial" w:hAnsiTheme="minorHAnsi" w:cs="Arial"/>
          <w:color w:val="000000"/>
        </w:rPr>
      </w:pPr>
      <w:r w:rsidRPr="00404D4D">
        <w:rPr>
          <w:rFonts w:asciiTheme="minorHAnsi" w:eastAsia="Arial" w:hAnsiTheme="minorHAnsi" w:cs="Arial"/>
          <w:color w:val="000000"/>
        </w:rPr>
        <w:t>Bayern: 2.563</w:t>
      </w:r>
      <w:r w:rsidR="007108EE">
        <w:rPr>
          <w:rFonts w:asciiTheme="minorHAnsi" w:eastAsia="Arial" w:hAnsiTheme="minorHAnsi" w:cs="Arial"/>
          <w:color w:val="000000"/>
        </w:rPr>
        <w:t xml:space="preserve"> zu 860</w:t>
      </w:r>
    </w:p>
    <w:p w:rsidR="00404D4D" w:rsidRPr="00404D4D" w:rsidRDefault="00404D4D" w:rsidP="00F82C9C">
      <w:pPr>
        <w:pStyle w:val="Listenabsatz"/>
        <w:numPr>
          <w:ilvl w:val="1"/>
          <w:numId w:val="16"/>
        </w:numPr>
        <w:spacing w:after="0" w:line="240" w:lineRule="auto"/>
        <w:jc w:val="both"/>
        <w:rPr>
          <w:rFonts w:asciiTheme="minorHAnsi" w:eastAsia="Arial" w:hAnsiTheme="minorHAnsi" w:cs="Arial"/>
          <w:color w:val="000000"/>
        </w:rPr>
      </w:pPr>
      <w:r w:rsidRPr="00404D4D">
        <w:rPr>
          <w:rFonts w:asciiTheme="minorHAnsi" w:eastAsia="Arial" w:hAnsiTheme="minorHAnsi" w:cs="Arial"/>
          <w:color w:val="000000"/>
        </w:rPr>
        <w:t>NRW: 1.070</w:t>
      </w:r>
      <w:r w:rsidR="007108EE">
        <w:rPr>
          <w:rFonts w:asciiTheme="minorHAnsi" w:eastAsia="Arial" w:hAnsiTheme="minorHAnsi" w:cs="Arial"/>
          <w:color w:val="000000"/>
        </w:rPr>
        <w:t xml:space="preserve"> zu 716</w:t>
      </w:r>
    </w:p>
    <w:p w:rsidR="00AB61C0" w:rsidRDefault="00AB61C0" w:rsidP="00AB61C0">
      <w:pPr>
        <w:pStyle w:val="Listenabsatz"/>
        <w:numPr>
          <w:ilvl w:val="0"/>
          <w:numId w:val="16"/>
        </w:numPr>
        <w:rPr>
          <w:rFonts w:asciiTheme="minorHAnsi" w:eastAsia="Arial" w:hAnsiTheme="minorHAnsi" w:cs="Arial"/>
          <w:b/>
          <w:color w:val="000000"/>
        </w:rPr>
      </w:pPr>
      <w:r w:rsidRPr="00AB61C0">
        <w:rPr>
          <w:rFonts w:asciiTheme="minorHAnsi" w:eastAsia="Arial" w:hAnsiTheme="minorHAnsi" w:cs="Arial"/>
          <w:b/>
          <w:color w:val="000000"/>
        </w:rPr>
        <w:t xml:space="preserve">Vergleich der Beschäftigtenzahlen in Fleischindustrie </w:t>
      </w:r>
      <w:r w:rsidRPr="00AB61C0">
        <w:rPr>
          <w:rFonts w:asciiTheme="minorHAnsi" w:eastAsia="Arial" w:hAnsiTheme="minorHAnsi" w:cs="Arial"/>
          <w:color w:val="000000"/>
        </w:rPr>
        <w:t>(Schlachten und Verarbeitung) zwischen dem Vor-Corona-Jahr 2018 und 2020</w:t>
      </w:r>
      <w:r>
        <w:rPr>
          <w:rFonts w:asciiTheme="minorHAnsi" w:eastAsia="Arial" w:hAnsiTheme="minorHAnsi" w:cs="Arial"/>
          <w:color w:val="000000"/>
        </w:rPr>
        <w:t xml:space="preserve"> (vgl. Frage 1, Tabelle 2- und </w:t>
      </w:r>
      <w:r w:rsidRPr="00AB61C0">
        <w:rPr>
          <w:rFonts w:asciiTheme="minorHAnsi" w:eastAsia="Arial" w:hAnsiTheme="minorHAnsi" w:cs="Arial"/>
          <w:color w:val="000000"/>
        </w:rPr>
        <w:t>BT-</w:t>
      </w:r>
      <w:proofErr w:type="spellStart"/>
      <w:r w:rsidRPr="00AB61C0">
        <w:rPr>
          <w:rFonts w:asciiTheme="minorHAnsi" w:eastAsia="Arial" w:hAnsiTheme="minorHAnsi" w:cs="Arial"/>
          <w:color w:val="000000"/>
        </w:rPr>
        <w:t>Drs</w:t>
      </w:r>
      <w:proofErr w:type="spellEnd"/>
      <w:r w:rsidRPr="00AB61C0">
        <w:rPr>
          <w:rFonts w:asciiTheme="minorHAnsi" w:eastAsia="Arial" w:hAnsiTheme="minorHAnsi" w:cs="Arial"/>
          <w:color w:val="000000"/>
        </w:rPr>
        <w:t>. 19/10537</w:t>
      </w:r>
      <w:r>
        <w:rPr>
          <w:rFonts w:asciiTheme="minorHAnsi" w:eastAsia="Arial" w:hAnsiTheme="minorHAnsi" w:cs="Arial"/>
          <w:color w:val="000000"/>
        </w:rPr>
        <w:t>, Tabellen 2-4 zu Frage 1)</w:t>
      </w:r>
      <w:r w:rsidRPr="00AB61C0">
        <w:rPr>
          <w:rFonts w:asciiTheme="minorHAnsi" w:eastAsia="Arial" w:hAnsiTheme="minorHAnsi" w:cs="Arial"/>
          <w:color w:val="000000"/>
        </w:rPr>
        <w:t>:</w:t>
      </w:r>
    </w:p>
    <w:p w:rsidR="00AB61C0" w:rsidRPr="00AB61C0" w:rsidRDefault="00AB61C0" w:rsidP="00AB61C0">
      <w:pPr>
        <w:pStyle w:val="Listenabsatz"/>
        <w:numPr>
          <w:ilvl w:val="1"/>
          <w:numId w:val="16"/>
        </w:numPr>
        <w:rPr>
          <w:rFonts w:asciiTheme="minorHAnsi" w:eastAsia="Arial" w:hAnsiTheme="minorHAnsi" w:cs="Arial"/>
          <w:color w:val="000000"/>
        </w:rPr>
      </w:pPr>
      <w:r w:rsidRPr="00AB61C0">
        <w:rPr>
          <w:rFonts w:asciiTheme="minorHAnsi" w:eastAsia="Arial" w:hAnsiTheme="minorHAnsi" w:cs="Arial"/>
          <w:color w:val="000000"/>
        </w:rPr>
        <w:t>Gesamt:</w:t>
      </w:r>
      <w:r>
        <w:rPr>
          <w:rFonts w:asciiTheme="minorHAnsi" w:eastAsia="Arial" w:hAnsiTheme="minorHAnsi" w:cs="Arial"/>
          <w:color w:val="000000"/>
        </w:rPr>
        <w:t xml:space="preserve"> </w:t>
      </w:r>
      <w:r w:rsidRPr="00AB61C0">
        <w:rPr>
          <w:rFonts w:asciiTheme="minorHAnsi" w:eastAsia="Arial" w:hAnsiTheme="minorHAnsi" w:cs="Arial"/>
          <w:color w:val="000000"/>
        </w:rPr>
        <w:t>189.317 zu</w:t>
      </w:r>
      <w:r>
        <w:rPr>
          <w:rFonts w:asciiTheme="minorHAnsi" w:eastAsia="Arial" w:hAnsiTheme="minorHAnsi" w:cs="Arial"/>
          <w:color w:val="000000"/>
        </w:rPr>
        <w:t xml:space="preserve"> 185.187 (- 2,18 %)</w:t>
      </w:r>
    </w:p>
    <w:p w:rsidR="00AB61C0" w:rsidRPr="00AB61C0" w:rsidRDefault="00AB61C0" w:rsidP="00AB61C0">
      <w:pPr>
        <w:pStyle w:val="Listenabsatz"/>
        <w:numPr>
          <w:ilvl w:val="1"/>
          <w:numId w:val="16"/>
        </w:numPr>
        <w:rPr>
          <w:rFonts w:asciiTheme="minorHAnsi" w:eastAsia="Arial" w:hAnsiTheme="minorHAnsi" w:cs="Arial"/>
          <w:color w:val="000000"/>
        </w:rPr>
      </w:pPr>
      <w:r w:rsidRPr="00AB61C0">
        <w:rPr>
          <w:rFonts w:asciiTheme="minorHAnsi" w:eastAsia="Arial" w:hAnsiTheme="minorHAnsi" w:cs="Arial"/>
          <w:color w:val="000000"/>
        </w:rPr>
        <w:t>S</w:t>
      </w:r>
      <w:r>
        <w:rPr>
          <w:rFonts w:asciiTheme="minorHAnsi" w:eastAsia="Arial" w:hAnsiTheme="minorHAnsi" w:cs="Arial"/>
          <w:color w:val="000000"/>
        </w:rPr>
        <w:t>ozialversicherun</w:t>
      </w:r>
      <w:r w:rsidRPr="00AB61C0">
        <w:rPr>
          <w:rFonts w:asciiTheme="minorHAnsi" w:eastAsia="Arial" w:hAnsiTheme="minorHAnsi" w:cs="Arial"/>
          <w:color w:val="000000"/>
        </w:rPr>
        <w:t>g</w:t>
      </w:r>
      <w:r>
        <w:rPr>
          <w:rFonts w:asciiTheme="minorHAnsi" w:eastAsia="Arial" w:hAnsiTheme="minorHAnsi" w:cs="Arial"/>
          <w:color w:val="000000"/>
        </w:rPr>
        <w:t>s</w:t>
      </w:r>
      <w:r w:rsidRPr="00AB61C0">
        <w:rPr>
          <w:rFonts w:asciiTheme="minorHAnsi" w:eastAsia="Arial" w:hAnsiTheme="minorHAnsi" w:cs="Arial"/>
          <w:color w:val="000000"/>
        </w:rPr>
        <w:t>pflichtig:</w:t>
      </w:r>
      <w:r>
        <w:rPr>
          <w:rFonts w:asciiTheme="minorHAnsi" w:eastAsia="Arial" w:hAnsiTheme="minorHAnsi" w:cs="Arial"/>
          <w:color w:val="000000"/>
        </w:rPr>
        <w:t xml:space="preserve"> 164.444 zu 163.645 (- 0,49 %)</w:t>
      </w:r>
    </w:p>
    <w:p w:rsidR="00AB61C0" w:rsidRPr="00AB61C0" w:rsidRDefault="00AB61C0" w:rsidP="00AB61C0">
      <w:pPr>
        <w:pStyle w:val="Listenabsatz"/>
        <w:numPr>
          <w:ilvl w:val="1"/>
          <w:numId w:val="16"/>
        </w:numPr>
        <w:rPr>
          <w:rFonts w:asciiTheme="minorHAnsi" w:eastAsia="Arial" w:hAnsiTheme="minorHAnsi" w:cs="Arial"/>
          <w:color w:val="000000"/>
        </w:rPr>
      </w:pPr>
      <w:r w:rsidRPr="00AB61C0">
        <w:rPr>
          <w:rFonts w:asciiTheme="minorHAnsi" w:eastAsia="Arial" w:hAnsiTheme="minorHAnsi" w:cs="Arial"/>
          <w:color w:val="000000"/>
        </w:rPr>
        <w:t>Schlachthöfe:</w:t>
      </w:r>
      <w:r>
        <w:rPr>
          <w:rFonts w:asciiTheme="minorHAnsi" w:eastAsia="Arial" w:hAnsiTheme="minorHAnsi" w:cs="Arial"/>
          <w:color w:val="000000"/>
        </w:rPr>
        <w:t xml:space="preserve"> 36.725 zu 34.749 (- 5,38 %)</w:t>
      </w:r>
    </w:p>
    <w:p w:rsidR="00AB61C0" w:rsidRPr="00AB61C0" w:rsidRDefault="00AB61C0" w:rsidP="00AB61C0">
      <w:pPr>
        <w:pStyle w:val="Listenabsatz"/>
        <w:numPr>
          <w:ilvl w:val="1"/>
          <w:numId w:val="16"/>
        </w:numPr>
        <w:rPr>
          <w:rFonts w:asciiTheme="minorHAnsi" w:eastAsia="Arial" w:hAnsiTheme="minorHAnsi" w:cs="Arial"/>
          <w:color w:val="000000"/>
        </w:rPr>
      </w:pPr>
      <w:r w:rsidRPr="00AB61C0">
        <w:rPr>
          <w:rFonts w:asciiTheme="minorHAnsi" w:eastAsia="Arial" w:hAnsiTheme="minorHAnsi" w:cs="Arial"/>
          <w:color w:val="000000"/>
        </w:rPr>
        <w:t>Verarbeitung:</w:t>
      </w:r>
      <w:r>
        <w:rPr>
          <w:rFonts w:asciiTheme="minorHAnsi" w:eastAsia="Arial" w:hAnsiTheme="minorHAnsi" w:cs="Arial"/>
          <w:color w:val="000000"/>
        </w:rPr>
        <w:t xml:space="preserve"> 152.592 zu 150.438 (- 1,41 %)</w:t>
      </w:r>
    </w:p>
    <w:p w:rsidR="00F82C9C" w:rsidRPr="005F7CC1" w:rsidRDefault="00F82C9C" w:rsidP="00C94BCF">
      <w:pPr>
        <w:pStyle w:val="Listenabsatz"/>
        <w:numPr>
          <w:ilvl w:val="0"/>
          <w:numId w:val="16"/>
        </w:numPr>
        <w:spacing w:after="0" w:line="240" w:lineRule="auto"/>
        <w:jc w:val="both"/>
        <w:rPr>
          <w:rFonts w:asciiTheme="minorHAnsi" w:eastAsia="Arial" w:hAnsiTheme="minorHAnsi" w:cs="Arial"/>
          <w:b/>
          <w:color w:val="000000"/>
        </w:rPr>
      </w:pPr>
      <w:r w:rsidRPr="00C94BCF">
        <w:rPr>
          <w:rFonts w:asciiTheme="minorHAnsi" w:eastAsia="Arial" w:hAnsiTheme="minorHAnsi" w:cs="Arial"/>
          <w:b/>
          <w:color w:val="000000"/>
        </w:rPr>
        <w:t xml:space="preserve">Das monatliche </w:t>
      </w:r>
      <w:r w:rsidR="00C94BCF">
        <w:rPr>
          <w:rFonts w:asciiTheme="minorHAnsi" w:eastAsia="Arial" w:hAnsiTheme="minorHAnsi" w:cs="Arial"/>
          <w:b/>
          <w:color w:val="000000"/>
        </w:rPr>
        <w:t xml:space="preserve">Durchschnittseinkommen </w:t>
      </w:r>
      <w:r w:rsidRPr="00C94BCF">
        <w:rPr>
          <w:rFonts w:asciiTheme="minorHAnsi" w:eastAsia="Arial" w:hAnsiTheme="minorHAnsi" w:cs="Arial"/>
          <w:b/>
          <w:color w:val="000000"/>
        </w:rPr>
        <w:t xml:space="preserve">in der Fleischindustrie </w:t>
      </w:r>
      <w:r w:rsidR="00C94BCF">
        <w:rPr>
          <w:rFonts w:asciiTheme="minorHAnsi" w:eastAsia="Arial" w:hAnsiTheme="minorHAnsi" w:cs="Arial"/>
          <w:b/>
          <w:color w:val="000000"/>
        </w:rPr>
        <w:t>(</w:t>
      </w:r>
      <w:r w:rsidR="001F710B">
        <w:rPr>
          <w:rFonts w:asciiTheme="minorHAnsi" w:eastAsia="Arial" w:hAnsiTheme="minorHAnsi" w:cs="Arial"/>
          <w:b/>
          <w:color w:val="000000"/>
        </w:rPr>
        <w:t xml:space="preserve">Median </w:t>
      </w:r>
      <w:proofErr w:type="spellStart"/>
      <w:r w:rsidR="00C94BCF" w:rsidRPr="00C94BCF">
        <w:rPr>
          <w:rFonts w:asciiTheme="minorHAnsi" w:eastAsia="Arial" w:hAnsiTheme="minorHAnsi" w:cs="Arial"/>
          <w:b/>
          <w:color w:val="000000"/>
        </w:rPr>
        <w:t>Bruttoentgeld</w:t>
      </w:r>
      <w:proofErr w:type="spellEnd"/>
      <w:r w:rsidR="00C94BCF">
        <w:rPr>
          <w:rFonts w:asciiTheme="minorHAnsi" w:eastAsia="Arial" w:hAnsiTheme="minorHAnsi" w:cs="Arial"/>
          <w:b/>
          <w:color w:val="000000"/>
        </w:rPr>
        <w:t>)</w:t>
      </w:r>
      <w:r w:rsidR="00C94BCF" w:rsidRPr="00C94BCF">
        <w:rPr>
          <w:rFonts w:asciiTheme="minorHAnsi" w:eastAsia="Arial" w:hAnsiTheme="minorHAnsi" w:cs="Arial"/>
          <w:b/>
          <w:color w:val="000000"/>
        </w:rPr>
        <w:t xml:space="preserve"> </w:t>
      </w:r>
      <w:r w:rsidR="00C94BCF">
        <w:rPr>
          <w:rFonts w:asciiTheme="minorHAnsi" w:eastAsia="Arial" w:hAnsiTheme="minorHAnsi" w:cs="Arial"/>
          <w:color w:val="000000"/>
        </w:rPr>
        <w:t xml:space="preserve">liegt </w:t>
      </w:r>
      <w:r w:rsidR="007516F9">
        <w:rPr>
          <w:rFonts w:asciiTheme="minorHAnsi" w:eastAsia="Arial" w:hAnsiTheme="minorHAnsi" w:cs="Arial"/>
          <w:color w:val="000000"/>
        </w:rPr>
        <w:t xml:space="preserve">2020 </w:t>
      </w:r>
      <w:r w:rsidR="00BF46DE" w:rsidRPr="00C94BCF">
        <w:rPr>
          <w:rFonts w:asciiTheme="minorHAnsi" w:eastAsia="Arial" w:hAnsiTheme="minorHAnsi" w:cs="Arial"/>
          <w:color w:val="000000"/>
        </w:rPr>
        <w:t xml:space="preserve">mit 2.274 </w:t>
      </w:r>
      <w:r w:rsidR="00BF46DE" w:rsidRPr="00C94BCF">
        <w:rPr>
          <w:rFonts w:asciiTheme="minorHAnsi" w:eastAsia="Arial" w:hAnsiTheme="minorHAnsi" w:cstheme="minorHAnsi"/>
          <w:color w:val="000000"/>
        </w:rPr>
        <w:t>€</w:t>
      </w:r>
      <w:r w:rsidR="00BF46DE" w:rsidRPr="00C94BCF">
        <w:rPr>
          <w:rFonts w:asciiTheme="minorHAnsi" w:eastAsia="Arial" w:hAnsiTheme="minorHAnsi" w:cs="Arial"/>
          <w:color w:val="000000"/>
        </w:rPr>
        <w:t xml:space="preserve"> um </w:t>
      </w:r>
      <w:r w:rsidR="006559BF">
        <w:rPr>
          <w:rFonts w:asciiTheme="minorHAnsi" w:eastAsia="Arial" w:hAnsiTheme="minorHAnsi" w:cs="Arial"/>
          <w:color w:val="000000"/>
        </w:rPr>
        <w:t xml:space="preserve">50,70 % </w:t>
      </w:r>
      <w:r w:rsidRPr="00C94BCF">
        <w:rPr>
          <w:rFonts w:asciiTheme="minorHAnsi" w:eastAsia="Arial" w:hAnsiTheme="minorHAnsi" w:cs="Arial"/>
          <w:color w:val="000000"/>
        </w:rPr>
        <w:t>Prozent niedriger als i</w:t>
      </w:r>
      <w:r w:rsidR="00BF46DE" w:rsidRPr="00C94BCF">
        <w:rPr>
          <w:rFonts w:asciiTheme="minorHAnsi" w:eastAsia="Arial" w:hAnsiTheme="minorHAnsi" w:cs="Arial"/>
          <w:color w:val="000000"/>
        </w:rPr>
        <w:t xml:space="preserve">n der Gesamtwirtschaft mit 3.427 </w:t>
      </w:r>
      <w:r w:rsidR="00BF46DE" w:rsidRPr="00C94BCF">
        <w:rPr>
          <w:rFonts w:asciiTheme="minorHAnsi" w:eastAsia="Arial" w:hAnsiTheme="minorHAnsi" w:cstheme="minorHAnsi"/>
          <w:color w:val="000000"/>
        </w:rPr>
        <w:t>€</w:t>
      </w:r>
      <w:r w:rsidR="00C94BCF">
        <w:rPr>
          <w:rFonts w:asciiTheme="minorHAnsi" w:eastAsia="Arial" w:hAnsiTheme="minorHAnsi" w:cs="Arial"/>
          <w:color w:val="000000"/>
        </w:rPr>
        <w:t xml:space="preserve"> </w:t>
      </w:r>
      <w:r w:rsidR="00BF46DE" w:rsidRPr="00C94BCF">
        <w:rPr>
          <w:rFonts w:asciiTheme="minorHAnsi" w:eastAsia="Arial" w:hAnsiTheme="minorHAnsi" w:cs="Arial"/>
          <w:color w:val="000000"/>
        </w:rPr>
        <w:t>(s. Frage 7, Tabelle 6</w:t>
      </w:r>
      <w:r w:rsidR="00C94BCF" w:rsidRPr="00C94BCF">
        <w:rPr>
          <w:rFonts w:asciiTheme="minorHAnsi" w:eastAsia="Arial" w:hAnsiTheme="minorHAnsi" w:cs="Arial"/>
          <w:color w:val="000000"/>
        </w:rPr>
        <w:t xml:space="preserve"> und </w:t>
      </w:r>
      <w:proofErr w:type="spellStart"/>
      <w:r w:rsidR="00C94BCF" w:rsidRPr="00C94BCF">
        <w:rPr>
          <w:rFonts w:asciiTheme="minorHAnsi" w:eastAsia="Arial" w:hAnsiTheme="minorHAnsi" w:cs="Arial"/>
          <w:color w:val="000000"/>
        </w:rPr>
        <w:t>Drs</w:t>
      </w:r>
      <w:proofErr w:type="spellEnd"/>
      <w:r w:rsidR="00C94BCF" w:rsidRPr="00C94BCF">
        <w:rPr>
          <w:rFonts w:asciiTheme="minorHAnsi" w:eastAsia="Arial" w:hAnsiTheme="minorHAnsi" w:cs="Arial"/>
          <w:color w:val="000000"/>
        </w:rPr>
        <w:t>. 19/11284, Tabelle 13</w:t>
      </w:r>
      <w:r w:rsidRPr="00C94BCF">
        <w:rPr>
          <w:rFonts w:asciiTheme="minorHAnsi" w:eastAsia="Arial" w:hAnsiTheme="minorHAnsi" w:cs="Arial"/>
          <w:color w:val="000000"/>
        </w:rPr>
        <w:t>):</w:t>
      </w:r>
    </w:p>
    <w:p w:rsidR="005F7CC1" w:rsidRPr="005F7CC1" w:rsidRDefault="005F7CC1" w:rsidP="005F7CC1">
      <w:pPr>
        <w:pStyle w:val="Listenabsatz"/>
        <w:numPr>
          <w:ilvl w:val="1"/>
          <w:numId w:val="16"/>
        </w:numPr>
        <w:spacing w:after="0" w:line="240" w:lineRule="auto"/>
        <w:jc w:val="both"/>
        <w:rPr>
          <w:rFonts w:asciiTheme="minorHAnsi" w:eastAsia="Arial" w:hAnsiTheme="minorHAnsi" w:cs="Arial"/>
          <w:color w:val="000000"/>
        </w:rPr>
      </w:pPr>
      <w:r w:rsidRPr="005F7CC1">
        <w:rPr>
          <w:rFonts w:asciiTheme="minorHAnsi" w:eastAsia="Arial" w:hAnsiTheme="minorHAnsi" w:cs="Arial"/>
          <w:color w:val="000000"/>
        </w:rPr>
        <w:t>Medianeinkommen Fleischindustrie</w:t>
      </w:r>
      <w:r>
        <w:rPr>
          <w:rFonts w:asciiTheme="minorHAnsi" w:eastAsia="Arial" w:hAnsiTheme="minorHAnsi" w:cs="Arial"/>
          <w:color w:val="000000"/>
        </w:rPr>
        <w:t xml:space="preserve"> in Euro und Steigerung zum Vorjahr in %</w:t>
      </w:r>
      <w:r w:rsidRPr="005F7CC1">
        <w:rPr>
          <w:rFonts w:asciiTheme="minorHAnsi" w:eastAsia="Arial" w:hAnsiTheme="minorHAnsi" w:cs="Arial"/>
          <w:color w:val="000000"/>
        </w:rPr>
        <w:t xml:space="preserve">: </w:t>
      </w:r>
    </w:p>
    <w:tbl>
      <w:tblPr>
        <w:tblStyle w:val="Tabellenraster"/>
        <w:tblW w:w="0" w:type="auto"/>
        <w:tblInd w:w="1440" w:type="dxa"/>
        <w:tblLook w:val="04A0" w:firstRow="1" w:lastRow="0" w:firstColumn="1" w:lastColumn="0" w:noHBand="0" w:noVBand="1"/>
      </w:tblPr>
      <w:tblGrid>
        <w:gridCol w:w="699"/>
        <w:gridCol w:w="699"/>
        <w:gridCol w:w="698"/>
        <w:gridCol w:w="700"/>
        <w:gridCol w:w="699"/>
        <w:gridCol w:w="699"/>
        <w:gridCol w:w="699"/>
        <w:gridCol w:w="697"/>
        <w:gridCol w:w="700"/>
        <w:gridCol w:w="670"/>
        <w:gridCol w:w="662"/>
      </w:tblGrid>
      <w:tr w:rsidR="005F7CC1" w:rsidTr="00803DA7">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2010</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2011</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2012</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2013</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2014</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2015</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2016</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2017</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2018</w:t>
            </w:r>
          </w:p>
        </w:tc>
        <w:tc>
          <w:tcPr>
            <w:tcW w:w="663"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2019</w:t>
            </w:r>
          </w:p>
        </w:tc>
        <w:tc>
          <w:tcPr>
            <w:tcW w:w="663"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2020</w:t>
            </w:r>
          </w:p>
        </w:tc>
      </w:tr>
      <w:tr w:rsidR="005F7CC1" w:rsidTr="00803DA7">
        <w:trPr>
          <w:trHeight w:val="93"/>
        </w:trPr>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1799</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1867</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1904</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1944</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1964</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1977</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1998</w:t>
            </w:r>
          </w:p>
        </w:tc>
        <w:tc>
          <w:tcPr>
            <w:tcW w:w="699"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2058</w:t>
            </w:r>
          </w:p>
        </w:tc>
        <w:tc>
          <w:tcPr>
            <w:tcW w:w="700"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2112</w:t>
            </w:r>
          </w:p>
        </w:tc>
        <w:tc>
          <w:tcPr>
            <w:tcW w:w="663"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2174</w:t>
            </w:r>
          </w:p>
        </w:tc>
        <w:tc>
          <w:tcPr>
            <w:tcW w:w="663" w:type="dxa"/>
          </w:tcPr>
          <w:p w:rsidR="005F7CC1" w:rsidRPr="00803DA7" w:rsidRDefault="005F7CC1" w:rsidP="004F6322">
            <w:pPr>
              <w:pStyle w:val="Listenabsatz"/>
              <w:spacing w:after="0" w:line="240" w:lineRule="auto"/>
              <w:ind w:left="0"/>
              <w:jc w:val="both"/>
              <w:rPr>
                <w:rFonts w:eastAsia="Arial" w:cs="Arial"/>
                <w:color w:val="000000"/>
                <w:sz w:val="18"/>
                <w:szCs w:val="18"/>
              </w:rPr>
            </w:pPr>
            <w:r w:rsidRPr="00803DA7">
              <w:rPr>
                <w:rFonts w:eastAsia="Arial" w:cs="Arial"/>
                <w:color w:val="000000"/>
                <w:sz w:val="18"/>
                <w:szCs w:val="18"/>
              </w:rPr>
              <w:t>2274</w:t>
            </w:r>
          </w:p>
        </w:tc>
      </w:tr>
      <w:tr w:rsidR="005F7CC1" w:rsidTr="00803DA7">
        <w:trPr>
          <w:trHeight w:val="93"/>
        </w:trPr>
        <w:tc>
          <w:tcPr>
            <w:tcW w:w="700" w:type="dxa"/>
          </w:tcPr>
          <w:p w:rsidR="005F7CC1" w:rsidRPr="00803DA7" w:rsidRDefault="00803DA7" w:rsidP="004F6322">
            <w:pPr>
              <w:pStyle w:val="Listenabsatz"/>
              <w:spacing w:after="0" w:line="240" w:lineRule="auto"/>
              <w:ind w:left="0"/>
              <w:jc w:val="both"/>
              <w:rPr>
                <w:rFonts w:eastAsia="Arial" w:cs="Arial"/>
                <w:color w:val="000000"/>
                <w:sz w:val="20"/>
                <w:szCs w:val="20"/>
              </w:rPr>
            </w:pPr>
            <w:r w:rsidRPr="00803DA7">
              <w:rPr>
                <w:rFonts w:eastAsia="Arial" w:cs="Arial"/>
                <w:color w:val="000000"/>
                <w:sz w:val="20"/>
                <w:szCs w:val="20"/>
              </w:rPr>
              <w:t>+</w:t>
            </w:r>
            <w:r w:rsidR="005F7CC1" w:rsidRPr="00803DA7">
              <w:rPr>
                <w:rFonts w:eastAsia="Arial" w:cs="Arial"/>
                <w:color w:val="000000"/>
                <w:sz w:val="20"/>
                <w:szCs w:val="20"/>
              </w:rPr>
              <w:t>1,24</w:t>
            </w:r>
          </w:p>
        </w:tc>
        <w:tc>
          <w:tcPr>
            <w:tcW w:w="700" w:type="dxa"/>
          </w:tcPr>
          <w:p w:rsidR="005F7CC1" w:rsidRPr="00803DA7" w:rsidRDefault="00803DA7" w:rsidP="004F6322">
            <w:pPr>
              <w:pStyle w:val="Listenabsatz"/>
              <w:spacing w:after="0" w:line="240" w:lineRule="auto"/>
              <w:ind w:left="0"/>
              <w:jc w:val="both"/>
              <w:rPr>
                <w:rFonts w:eastAsia="Arial" w:cs="Arial"/>
                <w:color w:val="000000"/>
                <w:sz w:val="20"/>
                <w:szCs w:val="20"/>
              </w:rPr>
            </w:pPr>
            <w:r w:rsidRPr="00803DA7">
              <w:rPr>
                <w:rFonts w:eastAsia="Arial" w:cs="Arial"/>
                <w:color w:val="000000"/>
                <w:sz w:val="20"/>
                <w:szCs w:val="20"/>
              </w:rPr>
              <w:t>+</w:t>
            </w:r>
            <w:r w:rsidR="005F7CC1" w:rsidRPr="00803DA7">
              <w:rPr>
                <w:rFonts w:eastAsia="Arial" w:cs="Arial"/>
                <w:color w:val="000000"/>
                <w:sz w:val="20"/>
                <w:szCs w:val="20"/>
              </w:rPr>
              <w:t>3,78</w:t>
            </w:r>
          </w:p>
        </w:tc>
        <w:tc>
          <w:tcPr>
            <w:tcW w:w="700"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1,98</w:t>
            </w:r>
          </w:p>
        </w:tc>
        <w:tc>
          <w:tcPr>
            <w:tcW w:w="700"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+2,10</w:t>
            </w:r>
          </w:p>
        </w:tc>
        <w:tc>
          <w:tcPr>
            <w:tcW w:w="699"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+1,03</w:t>
            </w:r>
          </w:p>
        </w:tc>
        <w:tc>
          <w:tcPr>
            <w:tcW w:w="699"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+0,66</w:t>
            </w:r>
          </w:p>
        </w:tc>
        <w:tc>
          <w:tcPr>
            <w:tcW w:w="699"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+1,06</w:t>
            </w:r>
          </w:p>
        </w:tc>
        <w:tc>
          <w:tcPr>
            <w:tcW w:w="699"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+3,0</w:t>
            </w:r>
          </w:p>
        </w:tc>
        <w:tc>
          <w:tcPr>
            <w:tcW w:w="700"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+2,62</w:t>
            </w:r>
          </w:p>
        </w:tc>
        <w:tc>
          <w:tcPr>
            <w:tcW w:w="663"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+2,94</w:t>
            </w:r>
          </w:p>
        </w:tc>
        <w:tc>
          <w:tcPr>
            <w:tcW w:w="663" w:type="dxa"/>
          </w:tcPr>
          <w:p w:rsidR="005F7CC1" w:rsidRPr="00803DA7" w:rsidRDefault="00803DA7" w:rsidP="004F6322">
            <w:pPr>
              <w:pStyle w:val="Listenabsatz"/>
              <w:spacing w:after="0" w:line="240" w:lineRule="auto"/>
              <w:ind w:left="0"/>
              <w:jc w:val="both"/>
              <w:rPr>
                <w:rFonts w:eastAsia="Arial" w:cs="Arial"/>
                <w:color w:val="000000"/>
                <w:sz w:val="20"/>
                <w:szCs w:val="20"/>
              </w:rPr>
            </w:pPr>
            <w:r>
              <w:rPr>
                <w:rFonts w:eastAsia="Arial" w:cs="Arial"/>
                <w:color w:val="000000"/>
                <w:sz w:val="20"/>
                <w:szCs w:val="20"/>
              </w:rPr>
              <w:t>+4,6</w:t>
            </w:r>
          </w:p>
        </w:tc>
      </w:tr>
    </w:tbl>
    <w:p w:rsidR="00C94BCF" w:rsidRDefault="00C94BCF" w:rsidP="006559BF">
      <w:pPr>
        <w:pStyle w:val="Listenabsatz"/>
        <w:numPr>
          <w:ilvl w:val="1"/>
          <w:numId w:val="16"/>
        </w:numPr>
        <w:spacing w:after="0" w:line="240" w:lineRule="auto"/>
        <w:jc w:val="both"/>
        <w:rPr>
          <w:rFonts w:asciiTheme="minorHAnsi" w:eastAsia="Arial" w:hAnsiTheme="minorHAnsi" w:cs="Arial"/>
          <w:color w:val="000000"/>
        </w:rPr>
      </w:pPr>
      <w:r w:rsidRPr="00C94BCF">
        <w:rPr>
          <w:rFonts w:asciiTheme="minorHAnsi" w:eastAsia="Arial" w:hAnsiTheme="minorHAnsi" w:cs="Arial"/>
          <w:color w:val="000000"/>
        </w:rPr>
        <w:t xml:space="preserve">Die Einkommen in der Gesamtwirtschaft </w:t>
      </w:r>
      <w:r w:rsidR="006559BF">
        <w:rPr>
          <w:rFonts w:asciiTheme="minorHAnsi" w:eastAsia="Arial" w:hAnsiTheme="minorHAnsi" w:cs="Arial"/>
          <w:color w:val="000000"/>
        </w:rPr>
        <w:t xml:space="preserve">in </w:t>
      </w:r>
      <w:r w:rsidR="006559BF" w:rsidRPr="006559BF">
        <w:rPr>
          <w:rFonts w:asciiTheme="minorHAnsi" w:eastAsia="Arial" w:hAnsiTheme="minorHAnsi" w:cs="Arial"/>
          <w:color w:val="000000"/>
        </w:rPr>
        <w:t>€</w:t>
      </w:r>
      <w:r w:rsidR="006559BF">
        <w:rPr>
          <w:rFonts w:asciiTheme="minorHAnsi" w:eastAsia="Arial" w:hAnsiTheme="minorHAnsi" w:cs="Arial"/>
          <w:color w:val="000000"/>
        </w:rPr>
        <w:t xml:space="preserve"> </w:t>
      </w:r>
      <w:r w:rsidRPr="00C94BCF">
        <w:rPr>
          <w:rFonts w:asciiTheme="minorHAnsi" w:eastAsia="Arial" w:hAnsiTheme="minorHAnsi" w:cs="Arial"/>
          <w:color w:val="000000"/>
        </w:rPr>
        <w:t xml:space="preserve">sind von 2010 zu 2020 um </w:t>
      </w:r>
      <w:r w:rsidR="00B83242">
        <w:rPr>
          <w:rFonts w:asciiTheme="minorHAnsi" w:eastAsia="Arial" w:hAnsiTheme="minorHAnsi" w:cs="Arial"/>
          <w:color w:val="000000"/>
        </w:rPr>
        <w:t>26,74</w:t>
      </w:r>
      <w:r w:rsidRPr="00C94BCF">
        <w:rPr>
          <w:rFonts w:asciiTheme="minorHAnsi" w:eastAsia="Arial" w:hAnsiTheme="minorHAnsi" w:cs="Arial"/>
          <w:color w:val="000000"/>
        </w:rPr>
        <w:t xml:space="preserve"> % gestiegen (</w:t>
      </w:r>
      <w:r w:rsidR="006559BF">
        <w:rPr>
          <w:rFonts w:asciiTheme="minorHAnsi" w:eastAsia="Arial" w:hAnsiTheme="minorHAnsi" w:cs="Arial"/>
          <w:color w:val="000000"/>
        </w:rPr>
        <w:t>2.704</w:t>
      </w:r>
      <w:r w:rsidRPr="00C94BCF">
        <w:rPr>
          <w:rFonts w:asciiTheme="minorHAnsi" w:eastAsia="Arial" w:hAnsiTheme="minorHAnsi" w:cs="Arial"/>
          <w:color w:val="000000"/>
        </w:rPr>
        <w:t xml:space="preserve"> zu 3.427</w:t>
      </w:r>
      <w:r w:rsidR="006559BF">
        <w:rPr>
          <w:rFonts w:asciiTheme="minorHAnsi" w:eastAsia="Arial" w:hAnsiTheme="minorHAnsi" w:cstheme="minorHAnsi"/>
          <w:color w:val="000000"/>
        </w:rPr>
        <w:t>)</w:t>
      </w:r>
      <w:r w:rsidRPr="00C94BCF">
        <w:rPr>
          <w:rFonts w:asciiTheme="minorHAnsi" w:eastAsia="Arial" w:hAnsiTheme="minorHAnsi" w:cs="Arial"/>
          <w:color w:val="000000"/>
        </w:rPr>
        <w:t>, in der F</w:t>
      </w:r>
      <w:r>
        <w:rPr>
          <w:rFonts w:asciiTheme="minorHAnsi" w:eastAsia="Arial" w:hAnsiTheme="minorHAnsi" w:cs="Arial"/>
          <w:color w:val="000000"/>
        </w:rPr>
        <w:t>leischindustrie</w:t>
      </w:r>
      <w:r w:rsidRPr="00C94BCF">
        <w:rPr>
          <w:rFonts w:asciiTheme="minorHAnsi" w:eastAsia="Arial" w:hAnsiTheme="minorHAnsi" w:cs="Arial"/>
          <w:color w:val="000000"/>
        </w:rPr>
        <w:t xml:space="preserve"> um </w:t>
      </w:r>
      <w:r w:rsidR="00B83242">
        <w:rPr>
          <w:rFonts w:asciiTheme="minorHAnsi" w:eastAsia="Arial" w:hAnsiTheme="minorHAnsi" w:cs="Arial"/>
          <w:color w:val="000000"/>
        </w:rPr>
        <w:t xml:space="preserve">26,40 % </w:t>
      </w:r>
      <w:r>
        <w:rPr>
          <w:rFonts w:asciiTheme="minorHAnsi" w:eastAsia="Arial" w:hAnsiTheme="minorHAnsi" w:cs="Arial"/>
          <w:color w:val="000000"/>
        </w:rPr>
        <w:t>(</w:t>
      </w:r>
      <w:r w:rsidR="006559BF">
        <w:rPr>
          <w:rFonts w:asciiTheme="minorHAnsi" w:eastAsia="Arial" w:hAnsiTheme="minorHAnsi" w:cs="Arial"/>
          <w:color w:val="000000"/>
        </w:rPr>
        <w:t>1.799 zu 2.274</w:t>
      </w:r>
      <w:r>
        <w:rPr>
          <w:rFonts w:asciiTheme="minorHAnsi" w:eastAsia="Arial" w:hAnsiTheme="minorHAnsi" w:cs="Arial"/>
          <w:color w:val="000000"/>
        </w:rPr>
        <w:t>)</w:t>
      </w:r>
    </w:p>
    <w:p w:rsidR="00C94BCF" w:rsidRPr="00C94BCF" w:rsidRDefault="00C94BCF" w:rsidP="006559BF">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Ausländische Staatsbürger verdienen in der Fleischindustrie um </w:t>
      </w:r>
      <w:r w:rsidR="00B83242">
        <w:rPr>
          <w:rFonts w:asciiTheme="minorHAnsi" w:eastAsia="Arial" w:hAnsiTheme="minorHAnsi" w:cs="Arial"/>
          <w:color w:val="000000"/>
        </w:rPr>
        <w:t>16,32</w:t>
      </w:r>
      <w:r>
        <w:rPr>
          <w:rFonts w:asciiTheme="minorHAnsi" w:eastAsia="Arial" w:hAnsiTheme="minorHAnsi" w:cs="Arial"/>
          <w:color w:val="000000"/>
        </w:rPr>
        <w:t xml:space="preserve"> % weniger als Deutsche (2.102 zu 2.445</w:t>
      </w:r>
      <w:r w:rsidR="006559BF">
        <w:rPr>
          <w:rFonts w:asciiTheme="minorHAnsi" w:eastAsia="Arial" w:hAnsiTheme="minorHAnsi" w:cs="Arial"/>
          <w:color w:val="000000"/>
        </w:rPr>
        <w:t xml:space="preserve"> </w:t>
      </w:r>
      <w:r w:rsidR="006559BF" w:rsidRPr="006559BF">
        <w:rPr>
          <w:rFonts w:asciiTheme="minorHAnsi" w:eastAsia="Arial" w:hAnsiTheme="minorHAnsi" w:cs="Arial"/>
          <w:color w:val="000000"/>
        </w:rPr>
        <w:t>€</w:t>
      </w:r>
      <w:r>
        <w:rPr>
          <w:rFonts w:asciiTheme="minorHAnsi" w:eastAsia="Arial" w:hAnsiTheme="minorHAnsi" w:cs="Arial"/>
          <w:color w:val="000000"/>
        </w:rPr>
        <w:t>)</w:t>
      </w:r>
    </w:p>
    <w:p w:rsidR="00BC3A3A" w:rsidRPr="009F19CE" w:rsidRDefault="001F710B" w:rsidP="009F19CE">
      <w:pPr>
        <w:pStyle w:val="Listenabsatz"/>
        <w:numPr>
          <w:ilvl w:val="0"/>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Mehr als die Hälfte (50,66 %</w:t>
      </w:r>
      <w:r w:rsidR="00BC3A3A" w:rsidRPr="009F19CE">
        <w:rPr>
          <w:rFonts w:asciiTheme="minorHAnsi" w:eastAsia="Arial" w:hAnsiTheme="minorHAnsi" w:cs="Arial"/>
          <w:color w:val="000000"/>
        </w:rPr>
        <w:t>)</w:t>
      </w:r>
      <w:r>
        <w:rPr>
          <w:rFonts w:asciiTheme="minorHAnsi" w:eastAsia="Arial" w:hAnsiTheme="minorHAnsi" w:cs="Arial"/>
          <w:color w:val="000000"/>
        </w:rPr>
        <w:t xml:space="preserve"> </w:t>
      </w:r>
      <w:r w:rsidR="00BC3A3A" w:rsidRPr="009F19CE">
        <w:rPr>
          <w:rFonts w:asciiTheme="minorHAnsi" w:eastAsia="Arial" w:hAnsiTheme="minorHAnsi" w:cs="Arial"/>
          <w:color w:val="000000"/>
        </w:rPr>
        <w:t>der sozialversicherungspflichtig Vollzeitbeschäftigten in der F</w:t>
      </w:r>
      <w:r w:rsidR="005F7CC1">
        <w:rPr>
          <w:rFonts w:asciiTheme="minorHAnsi" w:eastAsia="Arial" w:hAnsiTheme="minorHAnsi" w:cs="Arial"/>
          <w:color w:val="000000"/>
        </w:rPr>
        <w:t xml:space="preserve">leischindustrie arbeiten </w:t>
      </w:r>
      <w:r w:rsidR="007516F9">
        <w:rPr>
          <w:rFonts w:asciiTheme="minorHAnsi" w:eastAsia="Arial" w:hAnsiTheme="minorHAnsi" w:cs="Arial"/>
          <w:color w:val="000000"/>
        </w:rPr>
        <w:t xml:space="preserve">2020 </w:t>
      </w:r>
      <w:r w:rsidR="005F7CC1">
        <w:rPr>
          <w:rFonts w:asciiTheme="minorHAnsi" w:eastAsia="Arial" w:hAnsiTheme="minorHAnsi" w:cs="Arial"/>
          <w:color w:val="000000"/>
        </w:rPr>
        <w:t>zum Niedriglohn (unteren</w:t>
      </w:r>
      <w:r w:rsidR="00BC3A3A" w:rsidRPr="009F19CE">
        <w:rPr>
          <w:rFonts w:asciiTheme="minorHAnsi" w:eastAsia="Arial" w:hAnsiTheme="minorHAnsi" w:cs="Arial"/>
          <w:color w:val="000000"/>
        </w:rPr>
        <w:t xml:space="preserve"> Entgeltbereich) (s. Frage </w:t>
      </w:r>
      <w:r w:rsidR="00803DA7">
        <w:rPr>
          <w:rFonts w:asciiTheme="minorHAnsi" w:eastAsia="Arial" w:hAnsiTheme="minorHAnsi" w:cs="Arial"/>
          <w:color w:val="000000"/>
        </w:rPr>
        <w:t>9</w:t>
      </w:r>
      <w:r w:rsidR="00BC3A3A" w:rsidRPr="009F19CE">
        <w:rPr>
          <w:rFonts w:asciiTheme="minorHAnsi" w:eastAsia="Arial" w:hAnsiTheme="minorHAnsi" w:cs="Arial"/>
          <w:color w:val="000000"/>
        </w:rPr>
        <w:t>, Tabelle 8</w:t>
      </w:r>
      <w:r w:rsidR="005F7CC1">
        <w:rPr>
          <w:rFonts w:asciiTheme="minorHAnsi" w:eastAsia="Arial" w:hAnsiTheme="minorHAnsi" w:cs="Arial"/>
          <w:color w:val="000000"/>
        </w:rPr>
        <w:t xml:space="preserve"> </w:t>
      </w:r>
      <w:r w:rsidR="009F19CE">
        <w:rPr>
          <w:rFonts w:asciiTheme="minorHAnsi" w:eastAsia="Arial" w:hAnsiTheme="minorHAnsi" w:cs="Arial"/>
          <w:color w:val="000000"/>
        </w:rPr>
        <w:t>und</w:t>
      </w:r>
      <w:r w:rsidR="009F19CE" w:rsidRPr="009F19CE">
        <w:t xml:space="preserve"> </w:t>
      </w:r>
      <w:proofErr w:type="spellStart"/>
      <w:r w:rsidR="009F19CE" w:rsidRPr="009F19CE">
        <w:rPr>
          <w:rFonts w:asciiTheme="minorHAnsi" w:eastAsia="Arial" w:hAnsiTheme="minorHAnsi" w:cs="Arial"/>
          <w:color w:val="000000"/>
        </w:rPr>
        <w:t>Drs</w:t>
      </w:r>
      <w:proofErr w:type="spellEnd"/>
      <w:r w:rsidR="009F19CE" w:rsidRPr="009F19CE">
        <w:rPr>
          <w:rFonts w:asciiTheme="minorHAnsi" w:eastAsia="Arial" w:hAnsiTheme="minorHAnsi" w:cs="Arial"/>
          <w:color w:val="000000"/>
        </w:rPr>
        <w:t>. 19/11284, Tab</w:t>
      </w:r>
      <w:r w:rsidR="009F19CE">
        <w:rPr>
          <w:rFonts w:asciiTheme="minorHAnsi" w:eastAsia="Arial" w:hAnsiTheme="minorHAnsi" w:cs="Arial"/>
          <w:color w:val="000000"/>
        </w:rPr>
        <w:t>elle 19</w:t>
      </w:r>
      <w:r w:rsidR="00BC3A3A" w:rsidRPr="009F19CE">
        <w:rPr>
          <w:rFonts w:asciiTheme="minorHAnsi" w:eastAsia="Arial" w:hAnsiTheme="minorHAnsi" w:cs="Arial"/>
          <w:color w:val="000000"/>
        </w:rPr>
        <w:t>)</w:t>
      </w:r>
    </w:p>
    <w:p w:rsidR="00BC3A3A" w:rsidRDefault="00BC3A3A" w:rsidP="00BC3A3A">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Definition Niedriglohn: </w:t>
      </w:r>
      <w:r w:rsidRPr="00BC3A3A">
        <w:rPr>
          <w:rFonts w:asciiTheme="minorHAnsi" w:eastAsia="Arial" w:hAnsiTheme="minorHAnsi" w:cs="Arial"/>
          <w:color w:val="000000"/>
        </w:rPr>
        <w:t>In Anlehnung an die Definition der OECD liegt die Schwelle des unteren Entgeltbereichs bei 2/3 des Medianentgelts aller sozialversicherungspflichtig</w:t>
      </w:r>
      <w:r>
        <w:rPr>
          <w:rFonts w:asciiTheme="minorHAnsi" w:eastAsia="Arial" w:hAnsiTheme="minorHAnsi" w:cs="Arial"/>
          <w:color w:val="000000"/>
        </w:rPr>
        <w:t xml:space="preserve"> </w:t>
      </w:r>
      <w:r w:rsidRPr="00BC3A3A">
        <w:rPr>
          <w:rFonts w:asciiTheme="minorHAnsi" w:eastAsia="Arial" w:hAnsiTheme="minorHAnsi" w:cs="Arial"/>
          <w:color w:val="000000"/>
        </w:rPr>
        <w:t>Vollz</w:t>
      </w:r>
      <w:r>
        <w:rPr>
          <w:rFonts w:asciiTheme="minorHAnsi" w:eastAsia="Arial" w:hAnsiTheme="minorHAnsi" w:cs="Arial"/>
          <w:color w:val="000000"/>
        </w:rPr>
        <w:t>eitbeschäftigten der Kerngruppe (s. Fußnote 1, Tabelle 8)</w:t>
      </w:r>
    </w:p>
    <w:p w:rsidR="00BC3A3A" w:rsidRDefault="00F82C9C" w:rsidP="00BC3A3A">
      <w:pPr>
        <w:pStyle w:val="Listenabsatz"/>
        <w:numPr>
          <w:ilvl w:val="1"/>
          <w:numId w:val="16"/>
        </w:numPr>
        <w:spacing w:after="0" w:line="240" w:lineRule="auto"/>
        <w:jc w:val="both"/>
        <w:rPr>
          <w:rFonts w:asciiTheme="minorHAnsi" w:eastAsia="Arial" w:hAnsiTheme="minorHAnsi" w:cs="Arial"/>
          <w:color w:val="000000"/>
        </w:rPr>
      </w:pPr>
      <w:r w:rsidRPr="009F19CE">
        <w:rPr>
          <w:rFonts w:asciiTheme="minorHAnsi" w:eastAsia="Arial" w:hAnsiTheme="minorHAnsi" w:cs="Arial"/>
          <w:color w:val="000000"/>
        </w:rPr>
        <w:t xml:space="preserve">Die Niedriglohnquote in der Fleischindustrie </w:t>
      </w:r>
      <w:r w:rsidR="00BC3A3A" w:rsidRPr="009F19CE">
        <w:rPr>
          <w:rFonts w:asciiTheme="minorHAnsi" w:eastAsia="Arial" w:hAnsiTheme="minorHAnsi" w:cs="Arial"/>
          <w:color w:val="000000"/>
        </w:rPr>
        <w:t xml:space="preserve">liegt </w:t>
      </w:r>
      <w:r w:rsidR="007516F9">
        <w:rPr>
          <w:rFonts w:asciiTheme="minorHAnsi" w:eastAsia="Arial" w:hAnsiTheme="minorHAnsi" w:cs="Arial"/>
          <w:color w:val="000000"/>
        </w:rPr>
        <w:t xml:space="preserve">2020 </w:t>
      </w:r>
      <w:r w:rsidR="009F19CE" w:rsidRPr="009F19CE">
        <w:rPr>
          <w:rFonts w:asciiTheme="minorHAnsi" w:eastAsia="Arial" w:hAnsiTheme="minorHAnsi" w:cs="Arial"/>
          <w:color w:val="000000"/>
        </w:rPr>
        <w:t xml:space="preserve">mit 50,66 % </w:t>
      </w:r>
      <w:r w:rsidR="00BC3A3A" w:rsidRPr="009F19CE">
        <w:rPr>
          <w:rFonts w:asciiTheme="minorHAnsi" w:eastAsia="Arial" w:hAnsiTheme="minorHAnsi" w:cs="Arial"/>
          <w:color w:val="000000"/>
        </w:rPr>
        <w:t xml:space="preserve">höher als in der </w:t>
      </w:r>
      <w:r w:rsidRPr="009F19CE">
        <w:rPr>
          <w:rFonts w:asciiTheme="minorHAnsi" w:eastAsia="Arial" w:hAnsiTheme="minorHAnsi" w:cs="Arial"/>
          <w:color w:val="000000"/>
        </w:rPr>
        <w:t>Gesamtwirtschaft</w:t>
      </w:r>
      <w:r w:rsidR="00BC3A3A" w:rsidRPr="009F19CE">
        <w:rPr>
          <w:rFonts w:asciiTheme="minorHAnsi" w:eastAsia="Arial" w:hAnsiTheme="minorHAnsi" w:cs="Arial"/>
          <w:color w:val="000000"/>
        </w:rPr>
        <w:t xml:space="preserve"> mit 18,7 %</w:t>
      </w:r>
    </w:p>
    <w:p w:rsidR="009F19CE" w:rsidRDefault="009F19CE" w:rsidP="00BC3A3A">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Im Vorjahr lag (2019) lag der Anteil der Niedriglohnbezieher in der Fleischindustrie noch bei 55 % </w:t>
      </w:r>
    </w:p>
    <w:tbl>
      <w:tblPr>
        <w:tblStyle w:val="Tabellenraster"/>
        <w:tblW w:w="0" w:type="auto"/>
        <w:tblInd w:w="1440" w:type="dxa"/>
        <w:tblLook w:val="04A0" w:firstRow="1" w:lastRow="0" w:firstColumn="1" w:lastColumn="0" w:noHBand="0" w:noVBand="1"/>
      </w:tblPr>
      <w:tblGrid>
        <w:gridCol w:w="700"/>
        <w:gridCol w:w="700"/>
        <w:gridCol w:w="700"/>
        <w:gridCol w:w="700"/>
        <w:gridCol w:w="699"/>
        <w:gridCol w:w="699"/>
        <w:gridCol w:w="699"/>
        <w:gridCol w:w="699"/>
        <w:gridCol w:w="700"/>
        <w:gridCol w:w="663"/>
        <w:gridCol w:w="663"/>
      </w:tblGrid>
      <w:tr w:rsidR="009F19CE" w:rsidTr="009F19CE">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2010</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2011</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2012</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2013</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2014</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2015</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2016</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2017</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2018</w:t>
            </w:r>
          </w:p>
        </w:tc>
        <w:tc>
          <w:tcPr>
            <w:tcW w:w="663"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2019</w:t>
            </w:r>
          </w:p>
        </w:tc>
        <w:tc>
          <w:tcPr>
            <w:tcW w:w="663"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2020</w:t>
            </w:r>
          </w:p>
        </w:tc>
      </w:tr>
      <w:tr w:rsidR="009F19CE" w:rsidTr="009F19CE">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50,3</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50,1</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50,7</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51,4</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52,8</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54,3</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55,0</w:t>
            </w:r>
          </w:p>
        </w:tc>
        <w:tc>
          <w:tcPr>
            <w:tcW w:w="699"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54,5</w:t>
            </w:r>
          </w:p>
        </w:tc>
        <w:tc>
          <w:tcPr>
            <w:tcW w:w="700"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54,8</w:t>
            </w:r>
          </w:p>
        </w:tc>
        <w:tc>
          <w:tcPr>
            <w:tcW w:w="663"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55,0</w:t>
            </w:r>
          </w:p>
        </w:tc>
        <w:tc>
          <w:tcPr>
            <w:tcW w:w="663" w:type="dxa"/>
          </w:tcPr>
          <w:p w:rsidR="009F19CE" w:rsidRDefault="009F19CE" w:rsidP="009F19CE">
            <w:pPr>
              <w:pStyle w:val="Listenabsatz"/>
              <w:spacing w:after="0" w:line="240" w:lineRule="auto"/>
              <w:ind w:left="0"/>
              <w:jc w:val="both"/>
              <w:rPr>
                <w:rFonts w:eastAsia="Arial" w:cs="Arial"/>
                <w:color w:val="000000"/>
              </w:rPr>
            </w:pPr>
            <w:r>
              <w:rPr>
                <w:rFonts w:eastAsia="Arial" w:cs="Arial"/>
                <w:color w:val="000000"/>
              </w:rPr>
              <w:t>50,6</w:t>
            </w:r>
          </w:p>
        </w:tc>
      </w:tr>
    </w:tbl>
    <w:p w:rsidR="009F19CE" w:rsidRPr="009F19CE" w:rsidRDefault="009F19CE" w:rsidP="009F19CE">
      <w:pPr>
        <w:pStyle w:val="Listenabsatz"/>
        <w:spacing w:after="0" w:line="240" w:lineRule="auto"/>
        <w:ind w:left="1440"/>
        <w:jc w:val="both"/>
        <w:rPr>
          <w:rFonts w:asciiTheme="minorHAnsi" w:eastAsia="Arial" w:hAnsiTheme="minorHAnsi" w:cs="Arial"/>
          <w:color w:val="000000"/>
        </w:rPr>
      </w:pPr>
    </w:p>
    <w:p w:rsidR="00BC3A3A" w:rsidRPr="009F19CE" w:rsidRDefault="00BC3A3A" w:rsidP="00BC3A3A">
      <w:pPr>
        <w:pStyle w:val="Listenabsatz"/>
        <w:numPr>
          <w:ilvl w:val="1"/>
          <w:numId w:val="16"/>
        </w:numPr>
        <w:spacing w:after="0" w:line="240" w:lineRule="auto"/>
        <w:jc w:val="both"/>
        <w:rPr>
          <w:rFonts w:asciiTheme="minorHAnsi" w:eastAsia="Arial" w:hAnsiTheme="minorHAnsi" w:cs="Arial"/>
          <w:color w:val="000000"/>
        </w:rPr>
      </w:pPr>
      <w:r w:rsidRPr="009F19CE">
        <w:rPr>
          <w:rFonts w:asciiTheme="minorHAnsi" w:eastAsia="Arial" w:hAnsiTheme="minorHAnsi" w:cs="Arial"/>
          <w:color w:val="000000"/>
        </w:rPr>
        <w:lastRenderedPageBreak/>
        <w:t xml:space="preserve">In der Gesamtwirtschaft hat sich der Anteil der Beschäftigten im Niedriglohnbereich </w:t>
      </w:r>
      <w:r w:rsidR="009F19CE">
        <w:rPr>
          <w:rFonts w:asciiTheme="minorHAnsi" w:eastAsia="Arial" w:hAnsiTheme="minorHAnsi" w:cs="Arial"/>
          <w:color w:val="000000"/>
        </w:rPr>
        <w:t xml:space="preserve">in den letzten zehn Jahren </w:t>
      </w:r>
      <w:r w:rsidRPr="009F19CE">
        <w:rPr>
          <w:rFonts w:asciiTheme="minorHAnsi" w:eastAsia="Arial" w:hAnsiTheme="minorHAnsi" w:cs="Arial"/>
          <w:color w:val="000000"/>
        </w:rPr>
        <w:t>von 22,4 % im J</w:t>
      </w:r>
      <w:r w:rsidR="009F19CE">
        <w:rPr>
          <w:rFonts w:asciiTheme="minorHAnsi" w:eastAsia="Arial" w:hAnsiTheme="minorHAnsi" w:cs="Arial"/>
          <w:color w:val="000000"/>
        </w:rPr>
        <w:t>ahr 2010</w:t>
      </w:r>
      <w:r w:rsidRPr="009F19CE">
        <w:rPr>
          <w:rFonts w:asciiTheme="minorHAnsi" w:eastAsia="Arial" w:hAnsiTheme="minorHAnsi" w:cs="Arial"/>
          <w:color w:val="000000"/>
        </w:rPr>
        <w:t xml:space="preserve"> auf 18,7 % im Jahr 2020 verringert, während er in der F</w:t>
      </w:r>
      <w:r w:rsidR="009F19CE" w:rsidRPr="009F19CE">
        <w:rPr>
          <w:rFonts w:asciiTheme="minorHAnsi" w:eastAsia="Arial" w:hAnsiTheme="minorHAnsi" w:cs="Arial"/>
          <w:color w:val="000000"/>
        </w:rPr>
        <w:t>leischindustrie geringfügig</w:t>
      </w:r>
      <w:r w:rsidRPr="009F19CE">
        <w:rPr>
          <w:rFonts w:asciiTheme="minorHAnsi" w:eastAsia="Arial" w:hAnsiTheme="minorHAnsi" w:cs="Arial"/>
          <w:color w:val="000000"/>
        </w:rPr>
        <w:t xml:space="preserve"> angestiegen ist (50,3 </w:t>
      </w:r>
      <w:r w:rsidR="009F19CE" w:rsidRPr="009F19CE">
        <w:rPr>
          <w:rFonts w:asciiTheme="minorHAnsi" w:eastAsia="Arial" w:hAnsiTheme="minorHAnsi" w:cs="Arial"/>
          <w:color w:val="000000"/>
        </w:rPr>
        <w:t xml:space="preserve">% </w:t>
      </w:r>
      <w:r w:rsidRPr="009F19CE">
        <w:rPr>
          <w:rFonts w:asciiTheme="minorHAnsi" w:eastAsia="Arial" w:hAnsiTheme="minorHAnsi" w:cs="Arial"/>
          <w:color w:val="000000"/>
        </w:rPr>
        <w:t xml:space="preserve">zu 50,66 %) </w:t>
      </w:r>
    </w:p>
    <w:p w:rsidR="00F82C9C" w:rsidRPr="007268EB" w:rsidRDefault="007268EB" w:rsidP="000F2DC8">
      <w:pPr>
        <w:pStyle w:val="Listenabsatz"/>
        <w:numPr>
          <w:ilvl w:val="0"/>
          <w:numId w:val="16"/>
        </w:numPr>
        <w:rPr>
          <w:rFonts w:asciiTheme="minorHAnsi" w:eastAsia="Arial" w:hAnsiTheme="minorHAnsi" w:cs="Arial"/>
          <w:color w:val="000000"/>
        </w:rPr>
      </w:pPr>
      <w:r w:rsidRPr="007268EB">
        <w:rPr>
          <w:rFonts w:asciiTheme="minorHAnsi" w:eastAsia="Arial" w:hAnsiTheme="minorHAnsi" w:cs="Arial"/>
          <w:color w:val="000000"/>
        </w:rPr>
        <w:t xml:space="preserve">Im Jahr 2020 wurden 34,83 % aller Arbeitsstunden im Bereich der </w:t>
      </w:r>
      <w:r w:rsidR="000F2DC8" w:rsidRPr="000F2DC8">
        <w:rPr>
          <w:rFonts w:asciiTheme="minorHAnsi" w:eastAsia="Arial" w:hAnsiTheme="minorHAnsi" w:cs="Arial"/>
          <w:color w:val="000000"/>
        </w:rPr>
        <w:t xml:space="preserve">industriellen </w:t>
      </w:r>
      <w:proofErr w:type="spellStart"/>
      <w:r w:rsidR="000F2DC8" w:rsidRPr="000F2DC8">
        <w:rPr>
          <w:rFonts w:asciiTheme="minorHAnsi" w:eastAsia="Arial" w:hAnsiTheme="minorHAnsi" w:cs="Arial"/>
          <w:color w:val="000000"/>
        </w:rPr>
        <w:t>Be</w:t>
      </w:r>
      <w:proofErr w:type="spellEnd"/>
      <w:r w:rsidR="000F2DC8" w:rsidRPr="000F2DC8">
        <w:rPr>
          <w:rFonts w:asciiTheme="minorHAnsi" w:eastAsia="Arial" w:hAnsiTheme="minorHAnsi" w:cs="Arial"/>
          <w:color w:val="000000"/>
        </w:rPr>
        <w:t xml:space="preserve">- und Verarbeitung von Fleischwaren </w:t>
      </w:r>
      <w:r w:rsidRPr="007268EB">
        <w:rPr>
          <w:rFonts w:asciiTheme="minorHAnsi" w:eastAsia="Arial" w:hAnsiTheme="minorHAnsi" w:cs="Arial"/>
          <w:color w:val="000000"/>
        </w:rPr>
        <w:t xml:space="preserve">von Werkvertragsbeschäftigten geleistet (59.748.000 von 171.556.000), im Jahr 2019 waren es 38,81 % (75.743.000 von 195.152.000) </w:t>
      </w:r>
      <w:r>
        <w:rPr>
          <w:rFonts w:asciiTheme="minorHAnsi" w:eastAsia="Arial" w:hAnsiTheme="minorHAnsi" w:cs="Arial"/>
          <w:color w:val="000000"/>
        </w:rPr>
        <w:t>(Frage</w:t>
      </w:r>
      <w:r w:rsidRPr="007268EB">
        <w:rPr>
          <w:rFonts w:asciiTheme="minorHAnsi" w:eastAsia="Arial" w:hAnsiTheme="minorHAnsi" w:cs="Arial"/>
          <w:color w:val="000000"/>
        </w:rPr>
        <w:t xml:space="preserve"> 12</w:t>
      </w:r>
      <w:r w:rsidR="00F82C9C" w:rsidRPr="007268EB">
        <w:rPr>
          <w:rFonts w:asciiTheme="minorHAnsi" w:eastAsia="Arial" w:hAnsiTheme="minorHAnsi" w:cs="Arial"/>
          <w:color w:val="000000"/>
        </w:rPr>
        <w:t>):</w:t>
      </w:r>
    </w:p>
    <w:p w:rsidR="004307CD" w:rsidRPr="004307CD" w:rsidRDefault="004307CD" w:rsidP="003035DF">
      <w:pPr>
        <w:pStyle w:val="Listenabsatz"/>
        <w:numPr>
          <w:ilvl w:val="1"/>
          <w:numId w:val="16"/>
        </w:numPr>
        <w:spacing w:after="0" w:line="240" w:lineRule="auto"/>
        <w:jc w:val="both"/>
        <w:rPr>
          <w:rFonts w:asciiTheme="minorHAnsi" w:eastAsia="Arial" w:hAnsiTheme="minorHAnsi" w:cs="Arial"/>
          <w:color w:val="000000"/>
        </w:rPr>
      </w:pPr>
      <w:r w:rsidRPr="004307CD">
        <w:rPr>
          <w:rFonts w:asciiTheme="minorHAnsi" w:eastAsia="Arial" w:hAnsiTheme="minorHAnsi" w:cs="Arial"/>
          <w:color w:val="000000"/>
        </w:rPr>
        <w:t xml:space="preserve">Im Jahr 2020 waren bei der BGN 376 Werkvertragsunternehmen mit </w:t>
      </w:r>
      <w:r>
        <w:rPr>
          <w:rFonts w:asciiTheme="minorHAnsi" w:eastAsia="Arial" w:hAnsiTheme="minorHAnsi" w:cs="Arial"/>
          <w:color w:val="000000"/>
        </w:rPr>
        <w:t xml:space="preserve">rechnerisch </w:t>
      </w:r>
      <w:r w:rsidRPr="004307CD">
        <w:rPr>
          <w:rFonts w:asciiTheme="minorHAnsi" w:eastAsia="Arial" w:hAnsiTheme="minorHAnsi" w:cs="Arial"/>
          <w:color w:val="000000"/>
        </w:rPr>
        <w:t xml:space="preserve">39.308 Vollarbeitern registriert, die 59.748.000 Arbeitsstunden </w:t>
      </w:r>
      <w:r>
        <w:rPr>
          <w:rFonts w:asciiTheme="minorHAnsi" w:eastAsia="Arial" w:hAnsiTheme="minorHAnsi" w:cs="Arial"/>
          <w:color w:val="000000"/>
        </w:rPr>
        <w:t>geleistet haben</w:t>
      </w:r>
    </w:p>
    <w:p w:rsidR="004307CD" w:rsidRDefault="004307CD" w:rsidP="004307CD">
      <w:pPr>
        <w:pStyle w:val="Listenabsatz"/>
        <w:numPr>
          <w:ilvl w:val="1"/>
          <w:numId w:val="16"/>
        </w:numPr>
        <w:spacing w:after="0" w:line="240" w:lineRule="auto"/>
        <w:jc w:val="both"/>
        <w:rPr>
          <w:rFonts w:asciiTheme="minorHAnsi" w:eastAsia="Arial" w:hAnsiTheme="minorHAnsi" w:cs="Arial"/>
          <w:color w:val="000000"/>
        </w:rPr>
      </w:pPr>
      <w:r w:rsidRPr="004307CD">
        <w:rPr>
          <w:rFonts w:asciiTheme="minorHAnsi" w:eastAsia="Arial" w:hAnsiTheme="minorHAnsi" w:cs="Arial"/>
          <w:color w:val="000000"/>
        </w:rPr>
        <w:t>Im Vergleich und</w:t>
      </w:r>
      <w:r>
        <w:rPr>
          <w:rFonts w:asciiTheme="minorHAnsi" w:eastAsia="Arial" w:hAnsiTheme="minorHAnsi" w:cs="Arial"/>
          <w:color w:val="000000"/>
        </w:rPr>
        <w:t xml:space="preserve"> </w:t>
      </w:r>
      <w:r w:rsidRPr="004307CD">
        <w:rPr>
          <w:rFonts w:asciiTheme="minorHAnsi" w:eastAsia="Arial" w:hAnsiTheme="minorHAnsi" w:cs="Arial"/>
          <w:color w:val="000000"/>
        </w:rPr>
        <w:t>in Abgrenzung hierzu waren bei der BGN in 2020 insgesamt 1.108 Unternehmen</w:t>
      </w:r>
      <w:r>
        <w:rPr>
          <w:rFonts w:asciiTheme="minorHAnsi" w:eastAsia="Arial" w:hAnsiTheme="minorHAnsi" w:cs="Arial"/>
          <w:color w:val="000000"/>
        </w:rPr>
        <w:t xml:space="preserve"> </w:t>
      </w:r>
      <w:r w:rsidRPr="004307CD">
        <w:rPr>
          <w:rFonts w:asciiTheme="minorHAnsi" w:eastAsia="Arial" w:hAnsiTheme="minorHAnsi" w:cs="Arial"/>
          <w:color w:val="000000"/>
        </w:rPr>
        <w:t xml:space="preserve">registriert, die der industriellen </w:t>
      </w:r>
      <w:proofErr w:type="spellStart"/>
      <w:r w:rsidRPr="004307CD">
        <w:rPr>
          <w:rFonts w:asciiTheme="minorHAnsi" w:eastAsia="Arial" w:hAnsiTheme="minorHAnsi" w:cs="Arial"/>
          <w:color w:val="000000"/>
        </w:rPr>
        <w:t>Be</w:t>
      </w:r>
      <w:proofErr w:type="spellEnd"/>
      <w:r w:rsidRPr="004307CD">
        <w:rPr>
          <w:rFonts w:asciiTheme="minorHAnsi" w:eastAsia="Arial" w:hAnsiTheme="minorHAnsi" w:cs="Arial"/>
          <w:color w:val="000000"/>
        </w:rPr>
        <w:t>- und Verarbeitung von Fleischwaren zuzuordnen</w:t>
      </w:r>
      <w:r>
        <w:rPr>
          <w:rFonts w:asciiTheme="minorHAnsi" w:eastAsia="Arial" w:hAnsiTheme="minorHAnsi" w:cs="Arial"/>
          <w:color w:val="000000"/>
        </w:rPr>
        <w:t xml:space="preserve"> sind, in denen </w:t>
      </w:r>
      <w:r w:rsidRPr="004307CD">
        <w:rPr>
          <w:rFonts w:asciiTheme="minorHAnsi" w:eastAsia="Arial" w:hAnsiTheme="minorHAnsi" w:cs="Arial"/>
          <w:color w:val="000000"/>
        </w:rPr>
        <w:t>73.558 sog. Vollarbeiter mit</w:t>
      </w:r>
      <w:r>
        <w:rPr>
          <w:rFonts w:asciiTheme="minorHAnsi" w:eastAsia="Arial" w:hAnsiTheme="minorHAnsi" w:cs="Arial"/>
          <w:color w:val="000000"/>
        </w:rPr>
        <w:t xml:space="preserve"> </w:t>
      </w:r>
      <w:r w:rsidRPr="004307CD">
        <w:rPr>
          <w:rFonts w:asciiTheme="minorHAnsi" w:eastAsia="Arial" w:hAnsiTheme="minorHAnsi" w:cs="Arial"/>
          <w:color w:val="000000"/>
        </w:rPr>
        <w:t xml:space="preserve">111.808.000 </w:t>
      </w:r>
      <w:r>
        <w:rPr>
          <w:rFonts w:asciiTheme="minorHAnsi" w:eastAsia="Arial" w:hAnsiTheme="minorHAnsi" w:cs="Arial"/>
          <w:color w:val="000000"/>
        </w:rPr>
        <w:t>Arbeitsstunden beschäftigt waren</w:t>
      </w:r>
    </w:p>
    <w:p w:rsidR="00C372DB" w:rsidRDefault="00C372DB" w:rsidP="004307CD">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Zusammengenommen waren 2020 im Bereich der BGN (Werkvertragsunternehmen und Fleischindustrie) 1.484 Unternehmen, mit 112.866 Vollarbeitern und 171.556.000 Arbeitsstunden registriert</w:t>
      </w:r>
    </w:p>
    <w:p w:rsidR="00C372DB" w:rsidRDefault="00C372DB" w:rsidP="00C372DB">
      <w:pPr>
        <w:pStyle w:val="Listenabsatz"/>
        <w:numPr>
          <w:ilvl w:val="1"/>
          <w:numId w:val="16"/>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Veränderung 2019 zu 2020: </w:t>
      </w:r>
      <w:r w:rsidR="00803DA7" w:rsidRPr="004307CD">
        <w:rPr>
          <w:rFonts w:asciiTheme="minorHAnsi" w:eastAsia="Arial" w:hAnsiTheme="minorHAnsi" w:cs="Arial"/>
          <w:color w:val="000000"/>
        </w:rPr>
        <w:t>Die Zahl der bei der BGN gemeldeten W</w:t>
      </w:r>
      <w:r>
        <w:rPr>
          <w:rFonts w:asciiTheme="minorHAnsi" w:eastAsia="Arial" w:hAnsiTheme="minorHAnsi" w:cs="Arial"/>
          <w:color w:val="000000"/>
        </w:rPr>
        <w:t xml:space="preserve">erkvertragsunternehmen ist </w:t>
      </w:r>
      <w:r w:rsidR="00803DA7" w:rsidRPr="004307CD">
        <w:rPr>
          <w:rFonts w:asciiTheme="minorHAnsi" w:eastAsia="Arial" w:hAnsiTheme="minorHAnsi" w:cs="Arial"/>
          <w:color w:val="000000"/>
        </w:rPr>
        <w:t>von 428 auf 376 gesunken</w:t>
      </w:r>
      <w:r>
        <w:rPr>
          <w:rFonts w:asciiTheme="minorHAnsi" w:eastAsia="Arial" w:hAnsiTheme="minorHAnsi" w:cs="Arial"/>
          <w:color w:val="000000"/>
        </w:rPr>
        <w:t xml:space="preserve"> (- 12,15 %), d</w:t>
      </w:r>
      <w:r w:rsidR="004307CD" w:rsidRPr="00C372DB">
        <w:rPr>
          <w:rFonts w:asciiTheme="minorHAnsi" w:eastAsia="Arial" w:hAnsiTheme="minorHAnsi" w:cs="Arial"/>
          <w:color w:val="000000"/>
        </w:rPr>
        <w:t>ie Zahl der V</w:t>
      </w:r>
      <w:r>
        <w:rPr>
          <w:rFonts w:asciiTheme="minorHAnsi" w:eastAsia="Arial" w:hAnsiTheme="minorHAnsi" w:cs="Arial"/>
          <w:color w:val="000000"/>
        </w:rPr>
        <w:t xml:space="preserve">ollarbeitern </w:t>
      </w:r>
      <w:r w:rsidR="004307CD" w:rsidRPr="00C372DB">
        <w:rPr>
          <w:rFonts w:asciiTheme="minorHAnsi" w:eastAsia="Arial" w:hAnsiTheme="minorHAnsi" w:cs="Arial"/>
          <w:color w:val="000000"/>
        </w:rPr>
        <w:t>von 48.244 auf 39.308 gesunken</w:t>
      </w:r>
      <w:r w:rsidRPr="00C372DB">
        <w:rPr>
          <w:rFonts w:asciiTheme="minorHAnsi" w:eastAsia="Arial" w:hAnsiTheme="minorHAnsi" w:cs="Arial"/>
          <w:color w:val="000000"/>
        </w:rPr>
        <w:t xml:space="preserve"> (- 18,52 %), die Zahl der Arbeitsstunden von 75.743.000 auf 59.748.000</w:t>
      </w:r>
      <w:r>
        <w:rPr>
          <w:rFonts w:asciiTheme="minorHAnsi" w:eastAsia="Arial" w:hAnsiTheme="minorHAnsi" w:cs="Arial"/>
          <w:color w:val="000000"/>
        </w:rPr>
        <w:t xml:space="preserve"> (- 21,12 %)</w:t>
      </w:r>
    </w:p>
    <w:p w:rsidR="00C372DB" w:rsidRDefault="00C372DB" w:rsidP="00C372DB">
      <w:pPr>
        <w:pStyle w:val="Listenabsatz"/>
        <w:numPr>
          <w:ilvl w:val="0"/>
          <w:numId w:val="16"/>
        </w:numPr>
        <w:rPr>
          <w:rFonts w:asciiTheme="minorHAnsi" w:eastAsia="Arial" w:hAnsiTheme="minorHAnsi" w:cs="Arial"/>
          <w:color w:val="000000"/>
        </w:rPr>
      </w:pPr>
      <w:r w:rsidRPr="00C372DB">
        <w:rPr>
          <w:rFonts w:asciiTheme="minorHAnsi" w:eastAsia="Arial" w:hAnsiTheme="minorHAnsi" w:cs="Arial"/>
          <w:color w:val="000000"/>
        </w:rPr>
        <w:t>Für die Kontrolle der Regelungen zum Fremdpersonaleinsatz und die Ahndung entsprechender</w:t>
      </w:r>
      <w:r>
        <w:rPr>
          <w:rFonts w:asciiTheme="minorHAnsi" w:eastAsia="Arial" w:hAnsiTheme="minorHAnsi" w:cs="Arial"/>
          <w:color w:val="000000"/>
        </w:rPr>
        <w:t xml:space="preserve"> Ve</w:t>
      </w:r>
      <w:r w:rsidRPr="00C372DB">
        <w:rPr>
          <w:rFonts w:asciiTheme="minorHAnsi" w:eastAsia="Arial" w:hAnsiTheme="minorHAnsi" w:cs="Arial"/>
          <w:color w:val="000000"/>
        </w:rPr>
        <w:t>rstöße sind vorwiegend die Behörden der Zollverwaltung zuständig. Das</w:t>
      </w:r>
      <w:r>
        <w:rPr>
          <w:rFonts w:asciiTheme="minorHAnsi" w:eastAsia="Arial" w:hAnsiTheme="minorHAnsi" w:cs="Arial"/>
          <w:color w:val="000000"/>
        </w:rPr>
        <w:t xml:space="preserve"> </w:t>
      </w:r>
      <w:r w:rsidRPr="00C372DB">
        <w:rPr>
          <w:rFonts w:asciiTheme="minorHAnsi" w:eastAsia="Arial" w:hAnsiTheme="minorHAnsi" w:cs="Arial"/>
          <w:color w:val="000000"/>
        </w:rPr>
        <w:t>Bundesministerium für Arbeit und Soziales wird die Regelung zur Einschränkung des Einsatzes</w:t>
      </w:r>
      <w:r>
        <w:rPr>
          <w:rFonts w:asciiTheme="minorHAnsi" w:eastAsia="Arial" w:hAnsiTheme="minorHAnsi" w:cs="Arial"/>
          <w:color w:val="000000"/>
        </w:rPr>
        <w:t xml:space="preserve"> </w:t>
      </w:r>
      <w:r w:rsidRPr="00C372DB">
        <w:rPr>
          <w:rFonts w:asciiTheme="minorHAnsi" w:eastAsia="Arial" w:hAnsiTheme="minorHAnsi" w:cs="Arial"/>
          <w:color w:val="000000"/>
        </w:rPr>
        <w:t>von Fremdpersonal in der Fleischwir</w:t>
      </w:r>
      <w:r>
        <w:rPr>
          <w:rFonts w:asciiTheme="minorHAnsi" w:eastAsia="Arial" w:hAnsiTheme="minorHAnsi" w:cs="Arial"/>
          <w:color w:val="000000"/>
        </w:rPr>
        <w:t>tschaft im Jahr 2023 evaluieren (s. Frage 12b)</w:t>
      </w:r>
    </w:p>
    <w:p w:rsidR="00C372DB" w:rsidRPr="00A621A8" w:rsidRDefault="00C372DB" w:rsidP="00A621A8">
      <w:pPr>
        <w:pStyle w:val="Listenabsatz"/>
        <w:numPr>
          <w:ilvl w:val="0"/>
          <w:numId w:val="16"/>
        </w:numPr>
        <w:rPr>
          <w:rFonts w:asciiTheme="minorHAnsi" w:eastAsia="Arial" w:hAnsiTheme="minorHAnsi" w:cs="Arial"/>
          <w:color w:val="000000"/>
        </w:rPr>
      </w:pPr>
      <w:r w:rsidRPr="00C372DB">
        <w:rPr>
          <w:rFonts w:asciiTheme="minorHAnsi" w:eastAsia="Arial" w:hAnsiTheme="minorHAnsi" w:cs="Arial"/>
          <w:color w:val="000000"/>
        </w:rPr>
        <w:t xml:space="preserve">Da die Wohnungsaufsicht in die Zuständigkeit der Länder fällt, liegen der </w:t>
      </w:r>
      <w:proofErr w:type="spellStart"/>
      <w:r w:rsidRPr="00C372DB">
        <w:rPr>
          <w:rFonts w:asciiTheme="minorHAnsi" w:eastAsia="Arial" w:hAnsiTheme="minorHAnsi" w:cs="Arial"/>
          <w:color w:val="000000"/>
        </w:rPr>
        <w:t>Bundesregierung</w:t>
      </w:r>
      <w:r w:rsidR="00A621A8" w:rsidRPr="00A621A8">
        <w:rPr>
          <w:rFonts w:asciiTheme="minorHAnsi" w:eastAsia="Arial" w:hAnsiTheme="minorHAnsi" w:cs="Arial"/>
          <w:color w:val="000000"/>
        </w:rPr>
        <w:t>keine</w:t>
      </w:r>
      <w:proofErr w:type="spellEnd"/>
      <w:r w:rsidR="00A621A8" w:rsidRPr="00A621A8">
        <w:rPr>
          <w:rFonts w:asciiTheme="minorHAnsi" w:eastAsia="Arial" w:hAnsiTheme="minorHAnsi" w:cs="Arial"/>
          <w:color w:val="000000"/>
        </w:rPr>
        <w:t xml:space="preserve"> eigenen Erkenntnisse über die Wohnsituation von Beschäftigten der Fleischindustrie vor (s. Frage 13)</w:t>
      </w:r>
    </w:p>
    <w:p w:rsidR="00A621A8" w:rsidRDefault="00A621A8" w:rsidP="00A621A8">
      <w:pPr>
        <w:pStyle w:val="Listenabsatz"/>
        <w:numPr>
          <w:ilvl w:val="1"/>
          <w:numId w:val="16"/>
        </w:numPr>
        <w:rPr>
          <w:rFonts w:asciiTheme="minorHAnsi" w:eastAsia="Arial" w:hAnsiTheme="minorHAnsi" w:cs="Arial"/>
          <w:color w:val="000000"/>
        </w:rPr>
      </w:pPr>
      <w:r w:rsidRPr="00A621A8">
        <w:rPr>
          <w:rFonts w:asciiTheme="minorHAnsi" w:eastAsia="Arial" w:hAnsiTheme="minorHAnsi" w:cs="Arial"/>
          <w:color w:val="000000"/>
        </w:rPr>
        <w:t>Weiterhin überarbeitet der Ausschuss für Arbeitsstätten (ASTA) derzeit die Technische</w:t>
      </w:r>
      <w:r>
        <w:rPr>
          <w:rFonts w:asciiTheme="minorHAnsi" w:eastAsia="Arial" w:hAnsiTheme="minorHAnsi" w:cs="Arial"/>
          <w:color w:val="000000"/>
        </w:rPr>
        <w:t xml:space="preserve"> </w:t>
      </w:r>
      <w:r w:rsidRPr="00A621A8">
        <w:rPr>
          <w:rFonts w:asciiTheme="minorHAnsi" w:eastAsia="Arial" w:hAnsiTheme="minorHAnsi" w:cs="Arial"/>
          <w:color w:val="000000"/>
        </w:rPr>
        <w:t>Regel für Arbeitsstätten ASR A4.4 „Unterkünfte“, auch im Licht der vorgenannten</w:t>
      </w:r>
      <w:r>
        <w:rPr>
          <w:rFonts w:asciiTheme="minorHAnsi" w:eastAsia="Arial" w:hAnsiTheme="minorHAnsi" w:cs="Arial"/>
          <w:color w:val="000000"/>
        </w:rPr>
        <w:t xml:space="preserve"> Informationen</w:t>
      </w:r>
    </w:p>
    <w:p w:rsidR="00A621A8" w:rsidRDefault="00A621A8" w:rsidP="00A621A8">
      <w:pPr>
        <w:pStyle w:val="Listenabsatz"/>
        <w:numPr>
          <w:ilvl w:val="1"/>
          <w:numId w:val="16"/>
        </w:numPr>
        <w:rPr>
          <w:rFonts w:asciiTheme="minorHAnsi" w:eastAsia="Arial" w:hAnsiTheme="minorHAnsi" w:cs="Arial"/>
          <w:color w:val="000000"/>
        </w:rPr>
      </w:pPr>
      <w:r w:rsidRPr="00A621A8">
        <w:rPr>
          <w:rFonts w:asciiTheme="minorHAnsi" w:eastAsia="Arial" w:hAnsiTheme="minorHAnsi" w:cs="Arial"/>
          <w:color w:val="000000"/>
        </w:rPr>
        <w:t>Weitergehender Handlungsbe</w:t>
      </w:r>
      <w:r>
        <w:rPr>
          <w:rFonts w:asciiTheme="minorHAnsi" w:eastAsia="Arial" w:hAnsiTheme="minorHAnsi" w:cs="Arial"/>
          <w:color w:val="000000"/>
        </w:rPr>
        <w:t xml:space="preserve">darf wird aktuell nicht gesehen </w:t>
      </w:r>
    </w:p>
    <w:p w:rsidR="00A621A8" w:rsidRPr="00F24A43" w:rsidRDefault="00F24A43" w:rsidP="00F24A43">
      <w:pPr>
        <w:pStyle w:val="Listenabsatz"/>
        <w:numPr>
          <w:ilvl w:val="0"/>
          <w:numId w:val="16"/>
        </w:numPr>
        <w:rPr>
          <w:rFonts w:asciiTheme="minorHAnsi" w:eastAsia="Arial" w:hAnsiTheme="minorHAnsi" w:cs="Arial"/>
          <w:color w:val="000000"/>
        </w:rPr>
      </w:pPr>
      <w:r w:rsidRPr="00F24A43">
        <w:rPr>
          <w:rFonts w:asciiTheme="minorHAnsi" w:eastAsia="Arial" w:hAnsiTheme="minorHAnsi" w:cs="Arial"/>
          <w:color w:val="000000"/>
        </w:rPr>
        <w:t>Strafrechtlichen Ermittlungsverfahren und Ordnungswidrigkeitenverfahren</w:t>
      </w:r>
      <w:r>
        <w:rPr>
          <w:rFonts w:asciiTheme="minorHAnsi" w:eastAsia="Arial" w:hAnsiTheme="minorHAnsi" w:cs="Arial"/>
          <w:color w:val="000000"/>
        </w:rPr>
        <w:t xml:space="preserve"> der </w:t>
      </w:r>
      <w:r w:rsidR="00A621A8" w:rsidRPr="00A621A8">
        <w:rPr>
          <w:rFonts w:asciiTheme="minorHAnsi" w:eastAsia="Arial" w:hAnsiTheme="minorHAnsi" w:cs="Arial"/>
          <w:color w:val="000000"/>
        </w:rPr>
        <w:t>Finanzkontrolle Schwarzarbeit</w:t>
      </w:r>
      <w:r>
        <w:rPr>
          <w:rFonts w:asciiTheme="minorHAnsi" w:eastAsia="Arial" w:hAnsiTheme="minorHAnsi" w:cs="Arial"/>
          <w:color w:val="000000"/>
        </w:rPr>
        <w:t xml:space="preserve"> (FSK) in der Fleischindustrie (s. Frage 14; </w:t>
      </w:r>
      <w:proofErr w:type="spellStart"/>
      <w:r>
        <w:rPr>
          <w:rFonts w:asciiTheme="minorHAnsi" w:eastAsia="Arial" w:hAnsiTheme="minorHAnsi" w:cs="Arial"/>
          <w:color w:val="000000"/>
        </w:rPr>
        <w:t>Drs</w:t>
      </w:r>
      <w:proofErr w:type="spellEnd"/>
      <w:r>
        <w:rPr>
          <w:rFonts w:asciiTheme="minorHAnsi" w:eastAsia="Arial" w:hAnsiTheme="minorHAnsi" w:cs="Arial"/>
          <w:color w:val="000000"/>
        </w:rPr>
        <w:t xml:space="preserve">. </w:t>
      </w:r>
      <w:r w:rsidRPr="009F19CE">
        <w:rPr>
          <w:rFonts w:asciiTheme="minorHAnsi" w:eastAsia="Arial" w:hAnsiTheme="minorHAnsi" w:cs="Arial"/>
          <w:color w:val="000000"/>
        </w:rPr>
        <w:t>19/11284</w:t>
      </w:r>
      <w:r>
        <w:rPr>
          <w:rFonts w:asciiTheme="minorHAnsi" w:eastAsia="Arial" w:hAnsiTheme="minorHAnsi" w:cs="Arial"/>
          <w:color w:val="000000"/>
        </w:rPr>
        <w:t xml:space="preserve">, Frage 15; Frage 22 und </w:t>
      </w:r>
      <w:proofErr w:type="spellStart"/>
      <w:r>
        <w:rPr>
          <w:rFonts w:asciiTheme="minorHAnsi" w:eastAsia="Arial" w:hAnsiTheme="minorHAnsi" w:cs="Arial"/>
          <w:color w:val="000000"/>
        </w:rPr>
        <w:t>Drs</w:t>
      </w:r>
      <w:proofErr w:type="spellEnd"/>
      <w:r>
        <w:rPr>
          <w:rFonts w:asciiTheme="minorHAnsi" w:eastAsia="Arial" w:hAnsiTheme="minorHAnsi" w:cs="Arial"/>
          <w:color w:val="000000"/>
        </w:rPr>
        <w:t xml:space="preserve">. </w:t>
      </w:r>
      <w:r w:rsidRPr="00F24A43">
        <w:rPr>
          <w:rFonts w:asciiTheme="minorHAnsi" w:eastAsia="Arial" w:hAnsiTheme="minorHAnsi" w:cs="Arial"/>
          <w:color w:val="000000"/>
        </w:rPr>
        <w:t>19/11441</w:t>
      </w:r>
      <w:r>
        <w:rPr>
          <w:rFonts w:asciiTheme="minorHAnsi" w:eastAsia="Arial" w:hAnsiTheme="minorHAnsi" w:cs="Arial"/>
          <w:color w:val="000000"/>
        </w:rPr>
        <w:t>, F</w:t>
      </w:r>
      <w:r w:rsidR="00C357B9">
        <w:rPr>
          <w:rFonts w:asciiTheme="minorHAnsi" w:eastAsia="Arial" w:hAnsiTheme="minorHAnsi" w:cs="Arial"/>
          <w:color w:val="000000"/>
        </w:rPr>
        <w:t>rage</w:t>
      </w:r>
      <w:r w:rsidRPr="00F24A43">
        <w:rPr>
          <w:rFonts w:asciiTheme="minorHAnsi" w:eastAsia="Arial" w:hAnsiTheme="minorHAnsi" w:cs="Arial"/>
          <w:color w:val="000000"/>
        </w:rPr>
        <w:t>).</w:t>
      </w:r>
    </w:p>
    <w:p w:rsidR="00F24A43" w:rsidRDefault="00F24A43" w:rsidP="00F24A43">
      <w:pPr>
        <w:pStyle w:val="Listenabsatz"/>
        <w:numPr>
          <w:ilvl w:val="1"/>
          <w:numId w:val="16"/>
        </w:numPr>
        <w:rPr>
          <w:rFonts w:asciiTheme="minorHAnsi" w:eastAsia="Arial" w:hAnsiTheme="minorHAnsi" w:cs="Arial"/>
          <w:color w:val="000000"/>
        </w:rPr>
      </w:pPr>
      <w:r>
        <w:rPr>
          <w:rFonts w:asciiTheme="minorHAnsi" w:eastAsia="Arial" w:hAnsiTheme="minorHAnsi" w:cs="Arial"/>
          <w:color w:val="000000"/>
        </w:rPr>
        <w:t>Erledigte Strafverfahren:</w:t>
      </w:r>
    </w:p>
    <w:tbl>
      <w:tblPr>
        <w:tblStyle w:val="Tabellenraster"/>
        <w:tblW w:w="0" w:type="auto"/>
        <w:tblInd w:w="1440" w:type="dxa"/>
        <w:tblLook w:val="04A0" w:firstRow="1" w:lastRow="0" w:firstColumn="1" w:lastColumn="0" w:noHBand="0" w:noVBand="1"/>
      </w:tblPr>
      <w:tblGrid>
        <w:gridCol w:w="700"/>
        <w:gridCol w:w="700"/>
        <w:gridCol w:w="700"/>
        <w:gridCol w:w="700"/>
        <w:gridCol w:w="699"/>
        <w:gridCol w:w="699"/>
        <w:gridCol w:w="699"/>
        <w:gridCol w:w="699"/>
        <w:gridCol w:w="700"/>
        <w:gridCol w:w="663"/>
        <w:gridCol w:w="663"/>
      </w:tblGrid>
      <w:tr w:rsidR="00C357B9" w:rsidTr="004F6322">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2010</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2011</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2012</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2013</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2014</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2015</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2016</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2017</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2018</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2019</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2020</w:t>
            </w:r>
          </w:p>
        </w:tc>
      </w:tr>
      <w:tr w:rsidR="00C357B9" w:rsidTr="004F6322">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241</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165</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171</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174</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205</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276</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263</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226</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261</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245</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262</w:t>
            </w:r>
          </w:p>
        </w:tc>
      </w:tr>
    </w:tbl>
    <w:p w:rsidR="00F24A43" w:rsidRDefault="00F24A43" w:rsidP="00F24A43">
      <w:pPr>
        <w:pStyle w:val="Listenabsatz"/>
        <w:numPr>
          <w:ilvl w:val="1"/>
          <w:numId w:val="16"/>
        </w:numPr>
        <w:rPr>
          <w:rFonts w:asciiTheme="minorHAnsi" w:eastAsia="Arial" w:hAnsiTheme="minorHAnsi" w:cs="Arial"/>
          <w:color w:val="000000"/>
        </w:rPr>
      </w:pPr>
      <w:r>
        <w:rPr>
          <w:rFonts w:asciiTheme="minorHAnsi" w:eastAsia="Arial" w:hAnsiTheme="minorHAnsi" w:cs="Arial"/>
          <w:color w:val="000000"/>
        </w:rPr>
        <w:t>Erledigte Ordnungswidrigkeitsverfahren:</w:t>
      </w:r>
    </w:p>
    <w:tbl>
      <w:tblPr>
        <w:tblStyle w:val="Tabellenraster"/>
        <w:tblW w:w="0" w:type="auto"/>
        <w:tblInd w:w="1440" w:type="dxa"/>
        <w:tblLook w:val="04A0" w:firstRow="1" w:lastRow="0" w:firstColumn="1" w:lastColumn="0" w:noHBand="0" w:noVBand="1"/>
      </w:tblPr>
      <w:tblGrid>
        <w:gridCol w:w="700"/>
        <w:gridCol w:w="700"/>
        <w:gridCol w:w="700"/>
        <w:gridCol w:w="700"/>
        <w:gridCol w:w="699"/>
        <w:gridCol w:w="699"/>
        <w:gridCol w:w="699"/>
        <w:gridCol w:w="699"/>
        <w:gridCol w:w="700"/>
        <w:gridCol w:w="663"/>
        <w:gridCol w:w="663"/>
      </w:tblGrid>
      <w:tr w:rsidR="00C357B9" w:rsidTr="004F6322">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2010</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2011</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2012</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2013</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2014</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2015</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2016</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2017</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2018</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2019</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2020</w:t>
            </w:r>
          </w:p>
        </w:tc>
      </w:tr>
      <w:tr w:rsidR="00C357B9" w:rsidTr="004F6322">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378</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245</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294</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164</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285</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244</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143</w:t>
            </w:r>
          </w:p>
        </w:tc>
        <w:tc>
          <w:tcPr>
            <w:tcW w:w="699"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146</w:t>
            </w:r>
          </w:p>
        </w:tc>
        <w:tc>
          <w:tcPr>
            <w:tcW w:w="700"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144</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140</w:t>
            </w:r>
          </w:p>
        </w:tc>
        <w:tc>
          <w:tcPr>
            <w:tcW w:w="663" w:type="dxa"/>
          </w:tcPr>
          <w:p w:rsidR="00C357B9" w:rsidRDefault="00C357B9" w:rsidP="004F6322">
            <w:pPr>
              <w:pStyle w:val="Listenabsatz"/>
              <w:spacing w:after="0" w:line="240" w:lineRule="auto"/>
              <w:ind w:left="0"/>
              <w:jc w:val="both"/>
              <w:rPr>
                <w:rFonts w:eastAsia="Arial" w:cs="Arial"/>
                <w:color w:val="000000"/>
              </w:rPr>
            </w:pPr>
            <w:r>
              <w:rPr>
                <w:rFonts w:eastAsia="Arial" w:cs="Arial"/>
                <w:color w:val="000000"/>
              </w:rPr>
              <w:t>251</w:t>
            </w:r>
          </w:p>
        </w:tc>
      </w:tr>
    </w:tbl>
    <w:p w:rsidR="00C357B9" w:rsidRPr="00A621A8" w:rsidRDefault="00C357B9" w:rsidP="00C357B9">
      <w:pPr>
        <w:pStyle w:val="Listenabsatz"/>
        <w:ind w:left="1440"/>
        <w:rPr>
          <w:rFonts w:asciiTheme="minorHAnsi" w:eastAsia="Arial" w:hAnsiTheme="minorHAnsi" w:cs="Arial"/>
          <w:color w:val="000000"/>
        </w:rPr>
      </w:pPr>
    </w:p>
    <w:p w:rsidR="00F82C9C" w:rsidRPr="00B01424" w:rsidRDefault="00F82C9C" w:rsidP="00F82C9C">
      <w:pPr>
        <w:spacing w:after="0" w:line="240" w:lineRule="auto"/>
        <w:jc w:val="both"/>
        <w:rPr>
          <w:rFonts w:asciiTheme="minorHAnsi" w:eastAsia="Arial" w:hAnsiTheme="minorHAnsi" w:cs="Arial"/>
          <w:color w:val="000000"/>
        </w:rPr>
      </w:pPr>
    </w:p>
    <w:p w:rsidR="00F82C9C" w:rsidRPr="00270148" w:rsidRDefault="00F82C9C" w:rsidP="00F82C9C">
      <w:pPr>
        <w:spacing w:after="0" w:line="240" w:lineRule="auto"/>
        <w:contextualSpacing/>
        <w:jc w:val="both"/>
        <w:rPr>
          <w:rFonts w:asciiTheme="minorHAnsi" w:eastAsia="Arial" w:hAnsiTheme="minorHAnsi" w:cstheme="minorHAnsi"/>
          <w:bCs/>
          <w:color w:val="000000"/>
        </w:rPr>
      </w:pPr>
    </w:p>
    <w:sectPr w:rsidR="00F82C9C" w:rsidRPr="00270148"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11" w:rsidRDefault="00717411" w:rsidP="003D29BC">
      <w:pPr>
        <w:spacing w:after="0" w:line="240" w:lineRule="auto"/>
      </w:pPr>
      <w:r>
        <w:separator/>
      </w:r>
    </w:p>
  </w:endnote>
  <w:endnote w:type="continuationSeparator" w:id="0">
    <w:p w:rsidR="00717411" w:rsidRDefault="00717411"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579DF" w:rsidRDefault="009579DF">
        <w:pPr>
          <w:pStyle w:val="Fuzeile"/>
          <w:jc w:val="center"/>
        </w:pPr>
        <w:r>
          <w:fldChar w:fldCharType="begin"/>
        </w:r>
        <w:r>
          <w:instrText>PAGE   \* MERGEFORMAT</w:instrText>
        </w:r>
        <w:r>
          <w:fldChar w:fldCharType="separate"/>
        </w:r>
        <w:r w:rsidR="007516F9">
          <w:rPr>
            <w:noProof/>
          </w:rPr>
          <w:t>4</w:t>
        </w:r>
        <w:r>
          <w:fldChar w:fldCharType="end"/>
        </w:r>
      </w:p>
    </w:sdtContent>
  </w:sdt>
  <w:p w:rsidR="009579DF" w:rsidRDefault="009579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11" w:rsidRDefault="00717411" w:rsidP="003D29BC">
      <w:pPr>
        <w:spacing w:after="0" w:line="240" w:lineRule="auto"/>
      </w:pPr>
      <w:r>
        <w:separator/>
      </w:r>
    </w:p>
  </w:footnote>
  <w:footnote w:type="continuationSeparator" w:id="0">
    <w:p w:rsidR="00717411" w:rsidRDefault="00717411"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DF" w:rsidRPr="006D0E89" w:rsidRDefault="009579DF" w:rsidP="006D0E89">
    <w:pPr>
      <w:pStyle w:val="Kopfzeile"/>
      <w:jc w:val="right"/>
      <w:rPr>
        <w:color w:val="808080" w:themeColor="background1" w:themeShade="80"/>
      </w:rPr>
    </w:pPr>
    <w:r w:rsidRPr="00B74F50">
      <w:rPr>
        <w:color w:val="808080" w:themeColor="background1" w:themeShade="80"/>
      </w:rPr>
      <w:t>MdB-Büro J</w:t>
    </w:r>
    <w:r w:rsidR="00714884">
      <w:rPr>
        <w:color w:val="808080" w:themeColor="background1" w:themeShade="80"/>
      </w:rPr>
      <w:t>utta Krellmann (Hann</w:t>
    </w:r>
    <w:r w:rsidR="00803543">
      <w:rPr>
        <w:color w:val="808080" w:themeColor="background1" w:themeShade="80"/>
      </w:rPr>
      <w:t xml:space="preserve">es </w:t>
    </w:r>
    <w:r w:rsidR="00824FC8">
      <w:rPr>
        <w:color w:val="808080" w:themeColor="background1" w:themeShade="80"/>
      </w:rPr>
      <w:t>Strobel) Bearbeitungsstand 31</w:t>
    </w:r>
    <w:r w:rsidR="00714884">
      <w:rPr>
        <w:color w:val="808080" w:themeColor="background1" w:themeShade="80"/>
      </w:rPr>
      <w:t>.0</w:t>
    </w:r>
    <w:r w:rsidR="004A423A">
      <w:rPr>
        <w:color w:val="808080" w:themeColor="background1" w:themeShade="80"/>
      </w:rPr>
      <w:t>8</w:t>
    </w:r>
    <w:r>
      <w:rPr>
        <w:color w:val="808080" w:themeColor="background1" w:themeShade="80"/>
      </w:rPr>
      <w:t>.2021</w:t>
    </w:r>
    <w:r w:rsidRPr="00B74F50">
      <w:rPr>
        <w:color w:val="808080" w:themeColor="background1" w:themeShade="80"/>
      </w:rPr>
      <w:tab/>
    </w:r>
    <w:r w:rsidRPr="00B74F50">
      <w:rPr>
        <w:noProof/>
        <w:color w:val="808080" w:themeColor="background1" w:themeShade="80"/>
        <w:lang w:eastAsia="de-DE"/>
      </w:rPr>
      <w:drawing>
        <wp:inline distT="0" distB="0" distL="0" distR="0" wp14:anchorId="76826501" wp14:editId="0369D911">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70B"/>
    <w:multiLevelType w:val="hybridMultilevel"/>
    <w:tmpl w:val="334A24C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50338"/>
    <w:multiLevelType w:val="hybridMultilevel"/>
    <w:tmpl w:val="8FBA7296"/>
    <w:lvl w:ilvl="0" w:tplc="9328F7D0">
      <w:start w:val="119"/>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B4E94"/>
    <w:multiLevelType w:val="hybridMultilevel"/>
    <w:tmpl w:val="AFD8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049D0"/>
    <w:multiLevelType w:val="hybridMultilevel"/>
    <w:tmpl w:val="D8584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B2180"/>
    <w:multiLevelType w:val="hybridMultilevel"/>
    <w:tmpl w:val="074C6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F35F9A"/>
    <w:multiLevelType w:val="hybridMultilevel"/>
    <w:tmpl w:val="BBF4F05A"/>
    <w:lvl w:ilvl="0" w:tplc="04070003">
      <w:start w:val="1"/>
      <w:numFmt w:val="bullet"/>
      <w:lvlText w:val="o"/>
      <w:lvlJc w:val="left"/>
      <w:pPr>
        <w:ind w:left="2491" w:hanging="360"/>
      </w:pPr>
      <w:rPr>
        <w:rFonts w:ascii="Courier New" w:hAnsi="Courier New" w:cs="Courier New"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6" w15:restartNumberingAfterBreak="0">
    <w:nsid w:val="2DEF6514"/>
    <w:multiLevelType w:val="hybridMultilevel"/>
    <w:tmpl w:val="F73E98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20C87"/>
    <w:multiLevelType w:val="hybridMultilevel"/>
    <w:tmpl w:val="8DE88F72"/>
    <w:lvl w:ilvl="0" w:tplc="2000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8B5B50"/>
    <w:multiLevelType w:val="hybridMultilevel"/>
    <w:tmpl w:val="16AE7BC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F57E7"/>
    <w:multiLevelType w:val="hybridMultilevel"/>
    <w:tmpl w:val="747055A4"/>
    <w:lvl w:ilvl="0" w:tplc="04070001">
      <w:start w:val="1"/>
      <w:numFmt w:val="bullet"/>
      <w:lvlText w:val=""/>
      <w:lvlJc w:val="left"/>
      <w:pPr>
        <w:ind w:left="1068" w:hanging="360"/>
      </w:pPr>
      <w:rPr>
        <w:rFonts w:ascii="Symbol" w:hAnsi="Symbol" w:hint="default"/>
      </w:rPr>
    </w:lvl>
    <w:lvl w:ilvl="1" w:tplc="0407000F">
      <w:start w:val="1"/>
      <w:numFmt w:val="decimal"/>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C2C7171"/>
    <w:multiLevelType w:val="hybridMultilevel"/>
    <w:tmpl w:val="993E6CF0"/>
    <w:lvl w:ilvl="0" w:tplc="2000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4087252"/>
    <w:multiLevelType w:val="hybridMultilevel"/>
    <w:tmpl w:val="E5A4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8E1FDA"/>
    <w:multiLevelType w:val="hybridMultilevel"/>
    <w:tmpl w:val="2D7E8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E00723"/>
    <w:multiLevelType w:val="hybridMultilevel"/>
    <w:tmpl w:val="075E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8B70EE"/>
    <w:multiLevelType w:val="hybridMultilevel"/>
    <w:tmpl w:val="55C261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4102BB"/>
    <w:multiLevelType w:val="hybridMultilevel"/>
    <w:tmpl w:val="CED8E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B044B"/>
    <w:multiLevelType w:val="hybridMultilevel"/>
    <w:tmpl w:val="A3103A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CED64A2"/>
    <w:multiLevelType w:val="hybridMultilevel"/>
    <w:tmpl w:val="C7EA10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7"/>
  </w:num>
  <w:num w:numId="5">
    <w:abstractNumId w:val="17"/>
  </w:num>
  <w:num w:numId="6">
    <w:abstractNumId w:val="13"/>
  </w:num>
  <w:num w:numId="7">
    <w:abstractNumId w:val="15"/>
  </w:num>
  <w:num w:numId="8">
    <w:abstractNumId w:val="8"/>
  </w:num>
  <w:num w:numId="9">
    <w:abstractNumId w:val="14"/>
  </w:num>
  <w:num w:numId="10">
    <w:abstractNumId w:val="0"/>
  </w:num>
  <w:num w:numId="11">
    <w:abstractNumId w:val="9"/>
  </w:num>
  <w:num w:numId="12">
    <w:abstractNumId w:val="12"/>
  </w:num>
  <w:num w:numId="13">
    <w:abstractNumId w:val="11"/>
  </w:num>
  <w:num w:numId="14">
    <w:abstractNumId w:val="5"/>
  </w:num>
  <w:num w:numId="15">
    <w:abstractNumId w:val="2"/>
  </w:num>
  <w:num w:numId="16">
    <w:abstractNumId w:val="3"/>
  </w:num>
  <w:num w:numId="17">
    <w:abstractNumId w:val="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zAwNTY2MbQ0sDRV0lEKTi0uzszPAykwrQUAUy7A6iwAAAA="/>
  </w:docVars>
  <w:rsids>
    <w:rsidRoot w:val="00D11A10"/>
    <w:rsid w:val="000007A4"/>
    <w:rsid w:val="0000678E"/>
    <w:rsid w:val="0001284F"/>
    <w:rsid w:val="00013FB5"/>
    <w:rsid w:val="000142A7"/>
    <w:rsid w:val="00015149"/>
    <w:rsid w:val="00015717"/>
    <w:rsid w:val="00016639"/>
    <w:rsid w:val="0001683E"/>
    <w:rsid w:val="00020AF6"/>
    <w:rsid w:val="00030433"/>
    <w:rsid w:val="00032FC2"/>
    <w:rsid w:val="00033E40"/>
    <w:rsid w:val="00034E07"/>
    <w:rsid w:val="00035280"/>
    <w:rsid w:val="0003639F"/>
    <w:rsid w:val="00037A1F"/>
    <w:rsid w:val="00037FF2"/>
    <w:rsid w:val="00040D82"/>
    <w:rsid w:val="000422B1"/>
    <w:rsid w:val="00042F71"/>
    <w:rsid w:val="00044DEC"/>
    <w:rsid w:val="00047488"/>
    <w:rsid w:val="00050E05"/>
    <w:rsid w:val="0005135E"/>
    <w:rsid w:val="00051756"/>
    <w:rsid w:val="00055365"/>
    <w:rsid w:val="00056E26"/>
    <w:rsid w:val="00060029"/>
    <w:rsid w:val="000614AB"/>
    <w:rsid w:val="00062629"/>
    <w:rsid w:val="00063C5E"/>
    <w:rsid w:val="00065735"/>
    <w:rsid w:val="00067DEE"/>
    <w:rsid w:val="00074CFE"/>
    <w:rsid w:val="00075D47"/>
    <w:rsid w:val="00076F2E"/>
    <w:rsid w:val="00077821"/>
    <w:rsid w:val="00081F43"/>
    <w:rsid w:val="000832A8"/>
    <w:rsid w:val="00083E66"/>
    <w:rsid w:val="0009061A"/>
    <w:rsid w:val="000911E1"/>
    <w:rsid w:val="000A00A0"/>
    <w:rsid w:val="000A0822"/>
    <w:rsid w:val="000A376C"/>
    <w:rsid w:val="000A4223"/>
    <w:rsid w:val="000A53B0"/>
    <w:rsid w:val="000A58DC"/>
    <w:rsid w:val="000A7376"/>
    <w:rsid w:val="000B017D"/>
    <w:rsid w:val="000B17A9"/>
    <w:rsid w:val="000B22F1"/>
    <w:rsid w:val="000B26AD"/>
    <w:rsid w:val="000B5520"/>
    <w:rsid w:val="000B6367"/>
    <w:rsid w:val="000B7125"/>
    <w:rsid w:val="000C0876"/>
    <w:rsid w:val="000D0C66"/>
    <w:rsid w:val="000D211B"/>
    <w:rsid w:val="000D5A8D"/>
    <w:rsid w:val="000D7433"/>
    <w:rsid w:val="000E1D7D"/>
    <w:rsid w:val="000E40AC"/>
    <w:rsid w:val="000E426C"/>
    <w:rsid w:val="000E67A3"/>
    <w:rsid w:val="000E6972"/>
    <w:rsid w:val="000E6F7B"/>
    <w:rsid w:val="000F14F9"/>
    <w:rsid w:val="000F2D53"/>
    <w:rsid w:val="000F2DC8"/>
    <w:rsid w:val="000F34B2"/>
    <w:rsid w:val="000F51A7"/>
    <w:rsid w:val="000F60EE"/>
    <w:rsid w:val="001008BC"/>
    <w:rsid w:val="00100B5C"/>
    <w:rsid w:val="00103FF9"/>
    <w:rsid w:val="0011122A"/>
    <w:rsid w:val="0011197B"/>
    <w:rsid w:val="00112D8A"/>
    <w:rsid w:val="00113769"/>
    <w:rsid w:val="00116B15"/>
    <w:rsid w:val="001177E2"/>
    <w:rsid w:val="00117EF5"/>
    <w:rsid w:val="00125EF0"/>
    <w:rsid w:val="00127983"/>
    <w:rsid w:val="001348FA"/>
    <w:rsid w:val="00134F87"/>
    <w:rsid w:val="00135BA4"/>
    <w:rsid w:val="00137549"/>
    <w:rsid w:val="00140AB6"/>
    <w:rsid w:val="00141538"/>
    <w:rsid w:val="00142445"/>
    <w:rsid w:val="001429D5"/>
    <w:rsid w:val="001456D6"/>
    <w:rsid w:val="001462DE"/>
    <w:rsid w:val="001463A7"/>
    <w:rsid w:val="00152DC4"/>
    <w:rsid w:val="00153FC4"/>
    <w:rsid w:val="001544EB"/>
    <w:rsid w:val="001652B4"/>
    <w:rsid w:val="001670BC"/>
    <w:rsid w:val="00170F30"/>
    <w:rsid w:val="001714B6"/>
    <w:rsid w:val="00175210"/>
    <w:rsid w:val="0018013E"/>
    <w:rsid w:val="00180E38"/>
    <w:rsid w:val="001814BB"/>
    <w:rsid w:val="001820DF"/>
    <w:rsid w:val="00182F53"/>
    <w:rsid w:val="00191D55"/>
    <w:rsid w:val="00196101"/>
    <w:rsid w:val="0019648A"/>
    <w:rsid w:val="001A4213"/>
    <w:rsid w:val="001A4639"/>
    <w:rsid w:val="001A588A"/>
    <w:rsid w:val="001A6E96"/>
    <w:rsid w:val="001B0FAA"/>
    <w:rsid w:val="001B1DEB"/>
    <w:rsid w:val="001B2633"/>
    <w:rsid w:val="001B31AA"/>
    <w:rsid w:val="001B4A95"/>
    <w:rsid w:val="001B6FF1"/>
    <w:rsid w:val="001B7EF3"/>
    <w:rsid w:val="001C02EB"/>
    <w:rsid w:val="001C0720"/>
    <w:rsid w:val="001C0871"/>
    <w:rsid w:val="001C1997"/>
    <w:rsid w:val="001C3851"/>
    <w:rsid w:val="001C42BB"/>
    <w:rsid w:val="001D0976"/>
    <w:rsid w:val="001D39AC"/>
    <w:rsid w:val="001D50CD"/>
    <w:rsid w:val="001D620A"/>
    <w:rsid w:val="001D72EB"/>
    <w:rsid w:val="001D73F8"/>
    <w:rsid w:val="001E015E"/>
    <w:rsid w:val="001E0FFA"/>
    <w:rsid w:val="001E2E5F"/>
    <w:rsid w:val="001E46C1"/>
    <w:rsid w:val="001E7D59"/>
    <w:rsid w:val="001F1120"/>
    <w:rsid w:val="001F2D7E"/>
    <w:rsid w:val="001F3E88"/>
    <w:rsid w:val="001F4518"/>
    <w:rsid w:val="001F710B"/>
    <w:rsid w:val="00204DC7"/>
    <w:rsid w:val="00205A6E"/>
    <w:rsid w:val="00207019"/>
    <w:rsid w:val="002076DB"/>
    <w:rsid w:val="0021084F"/>
    <w:rsid w:val="0021086D"/>
    <w:rsid w:val="002111BF"/>
    <w:rsid w:val="00213DFD"/>
    <w:rsid w:val="0021716E"/>
    <w:rsid w:val="00222B12"/>
    <w:rsid w:val="002263FB"/>
    <w:rsid w:val="00230E71"/>
    <w:rsid w:val="002322F8"/>
    <w:rsid w:val="002366A5"/>
    <w:rsid w:val="002379A6"/>
    <w:rsid w:val="00237F73"/>
    <w:rsid w:val="00243248"/>
    <w:rsid w:val="002448BD"/>
    <w:rsid w:val="0024760E"/>
    <w:rsid w:val="002527C5"/>
    <w:rsid w:val="002532C6"/>
    <w:rsid w:val="00253707"/>
    <w:rsid w:val="00254085"/>
    <w:rsid w:val="00256FCE"/>
    <w:rsid w:val="00256FE1"/>
    <w:rsid w:val="00260AC2"/>
    <w:rsid w:val="002611D1"/>
    <w:rsid w:val="0026510A"/>
    <w:rsid w:val="002675D0"/>
    <w:rsid w:val="00270148"/>
    <w:rsid w:val="002738EA"/>
    <w:rsid w:val="0027767C"/>
    <w:rsid w:val="002778E1"/>
    <w:rsid w:val="00277D0A"/>
    <w:rsid w:val="00280B11"/>
    <w:rsid w:val="0028221F"/>
    <w:rsid w:val="00282F77"/>
    <w:rsid w:val="00285E0E"/>
    <w:rsid w:val="002860CC"/>
    <w:rsid w:val="00286933"/>
    <w:rsid w:val="00287E2A"/>
    <w:rsid w:val="00290E68"/>
    <w:rsid w:val="002933C1"/>
    <w:rsid w:val="002974D3"/>
    <w:rsid w:val="002A0F56"/>
    <w:rsid w:val="002A3A4B"/>
    <w:rsid w:val="002A3DFE"/>
    <w:rsid w:val="002A6B30"/>
    <w:rsid w:val="002A7A6F"/>
    <w:rsid w:val="002B0B73"/>
    <w:rsid w:val="002B4FC4"/>
    <w:rsid w:val="002C29F5"/>
    <w:rsid w:val="002D2DDF"/>
    <w:rsid w:val="002D3BD1"/>
    <w:rsid w:val="002D4F07"/>
    <w:rsid w:val="002D5745"/>
    <w:rsid w:val="002E11CD"/>
    <w:rsid w:val="002E5E34"/>
    <w:rsid w:val="002E6AC5"/>
    <w:rsid w:val="002F0AB5"/>
    <w:rsid w:val="002F15E5"/>
    <w:rsid w:val="002F704E"/>
    <w:rsid w:val="00300777"/>
    <w:rsid w:val="00301781"/>
    <w:rsid w:val="00304973"/>
    <w:rsid w:val="003059B8"/>
    <w:rsid w:val="00306220"/>
    <w:rsid w:val="0030645B"/>
    <w:rsid w:val="0030699B"/>
    <w:rsid w:val="00307889"/>
    <w:rsid w:val="00307A4A"/>
    <w:rsid w:val="00307AA0"/>
    <w:rsid w:val="003129E2"/>
    <w:rsid w:val="00312C80"/>
    <w:rsid w:val="00313B3A"/>
    <w:rsid w:val="003150EE"/>
    <w:rsid w:val="003160A5"/>
    <w:rsid w:val="003160B6"/>
    <w:rsid w:val="0031706B"/>
    <w:rsid w:val="003201AF"/>
    <w:rsid w:val="00320209"/>
    <w:rsid w:val="00320285"/>
    <w:rsid w:val="00321032"/>
    <w:rsid w:val="00325C54"/>
    <w:rsid w:val="00326242"/>
    <w:rsid w:val="00336201"/>
    <w:rsid w:val="00337089"/>
    <w:rsid w:val="003430FF"/>
    <w:rsid w:val="00347B3E"/>
    <w:rsid w:val="00350101"/>
    <w:rsid w:val="0035190D"/>
    <w:rsid w:val="0036034D"/>
    <w:rsid w:val="003612DB"/>
    <w:rsid w:val="003627AF"/>
    <w:rsid w:val="00362FA1"/>
    <w:rsid w:val="003645C2"/>
    <w:rsid w:val="00364607"/>
    <w:rsid w:val="003655C0"/>
    <w:rsid w:val="003664AE"/>
    <w:rsid w:val="003719DD"/>
    <w:rsid w:val="003725A5"/>
    <w:rsid w:val="00375C50"/>
    <w:rsid w:val="00377890"/>
    <w:rsid w:val="003851BA"/>
    <w:rsid w:val="00386E21"/>
    <w:rsid w:val="00391606"/>
    <w:rsid w:val="00392722"/>
    <w:rsid w:val="003964D9"/>
    <w:rsid w:val="00396C8F"/>
    <w:rsid w:val="003971F0"/>
    <w:rsid w:val="003A01C7"/>
    <w:rsid w:val="003A2CF3"/>
    <w:rsid w:val="003B14F1"/>
    <w:rsid w:val="003B19F1"/>
    <w:rsid w:val="003B1B4E"/>
    <w:rsid w:val="003B2011"/>
    <w:rsid w:val="003B5C5D"/>
    <w:rsid w:val="003C16F3"/>
    <w:rsid w:val="003C2019"/>
    <w:rsid w:val="003C3A19"/>
    <w:rsid w:val="003C3F2C"/>
    <w:rsid w:val="003C4074"/>
    <w:rsid w:val="003C51F7"/>
    <w:rsid w:val="003C6B86"/>
    <w:rsid w:val="003C6CE7"/>
    <w:rsid w:val="003D138D"/>
    <w:rsid w:val="003D1F67"/>
    <w:rsid w:val="003D29BC"/>
    <w:rsid w:val="003D2AE2"/>
    <w:rsid w:val="003D6660"/>
    <w:rsid w:val="003D7C34"/>
    <w:rsid w:val="003E20C3"/>
    <w:rsid w:val="003E4B6D"/>
    <w:rsid w:val="003E509B"/>
    <w:rsid w:val="003E5A15"/>
    <w:rsid w:val="003E67AA"/>
    <w:rsid w:val="003E6920"/>
    <w:rsid w:val="003F052C"/>
    <w:rsid w:val="003F1DB7"/>
    <w:rsid w:val="003F7FCD"/>
    <w:rsid w:val="00404BDA"/>
    <w:rsid w:val="00404D4D"/>
    <w:rsid w:val="004109CA"/>
    <w:rsid w:val="00423C9B"/>
    <w:rsid w:val="00424FEA"/>
    <w:rsid w:val="004255DE"/>
    <w:rsid w:val="00425EAB"/>
    <w:rsid w:val="00430573"/>
    <w:rsid w:val="004307CD"/>
    <w:rsid w:val="00433544"/>
    <w:rsid w:val="00434273"/>
    <w:rsid w:val="00434586"/>
    <w:rsid w:val="00434DD8"/>
    <w:rsid w:val="004376A6"/>
    <w:rsid w:val="00437E92"/>
    <w:rsid w:val="004431F6"/>
    <w:rsid w:val="00444F52"/>
    <w:rsid w:val="00447B7F"/>
    <w:rsid w:val="004500E6"/>
    <w:rsid w:val="00450347"/>
    <w:rsid w:val="004503A1"/>
    <w:rsid w:val="004507A1"/>
    <w:rsid w:val="00450BBB"/>
    <w:rsid w:val="00453846"/>
    <w:rsid w:val="00453BBF"/>
    <w:rsid w:val="00455D29"/>
    <w:rsid w:val="00457B73"/>
    <w:rsid w:val="00460B2C"/>
    <w:rsid w:val="00460D3A"/>
    <w:rsid w:val="004611CB"/>
    <w:rsid w:val="004709E1"/>
    <w:rsid w:val="0047243C"/>
    <w:rsid w:val="00475BBD"/>
    <w:rsid w:val="00476C5E"/>
    <w:rsid w:val="00483C53"/>
    <w:rsid w:val="00484A76"/>
    <w:rsid w:val="00485265"/>
    <w:rsid w:val="00487F11"/>
    <w:rsid w:val="0049512D"/>
    <w:rsid w:val="004977BF"/>
    <w:rsid w:val="004A1117"/>
    <w:rsid w:val="004A1987"/>
    <w:rsid w:val="004A423A"/>
    <w:rsid w:val="004B0122"/>
    <w:rsid w:val="004B0699"/>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55EA"/>
    <w:rsid w:val="004F6289"/>
    <w:rsid w:val="004F6488"/>
    <w:rsid w:val="0050674D"/>
    <w:rsid w:val="00515A44"/>
    <w:rsid w:val="005160E6"/>
    <w:rsid w:val="00522DB9"/>
    <w:rsid w:val="00522ED4"/>
    <w:rsid w:val="00522F24"/>
    <w:rsid w:val="00525646"/>
    <w:rsid w:val="00525A51"/>
    <w:rsid w:val="00530167"/>
    <w:rsid w:val="00530B23"/>
    <w:rsid w:val="00531621"/>
    <w:rsid w:val="005318F0"/>
    <w:rsid w:val="005364AD"/>
    <w:rsid w:val="00540014"/>
    <w:rsid w:val="005433A5"/>
    <w:rsid w:val="00543A66"/>
    <w:rsid w:val="00543CFF"/>
    <w:rsid w:val="00545B86"/>
    <w:rsid w:val="00547356"/>
    <w:rsid w:val="005519C9"/>
    <w:rsid w:val="005537E1"/>
    <w:rsid w:val="005539C5"/>
    <w:rsid w:val="00555425"/>
    <w:rsid w:val="0055575E"/>
    <w:rsid w:val="00555BEF"/>
    <w:rsid w:val="00555E03"/>
    <w:rsid w:val="00556332"/>
    <w:rsid w:val="00557C17"/>
    <w:rsid w:val="00560961"/>
    <w:rsid w:val="00566717"/>
    <w:rsid w:val="00571CC7"/>
    <w:rsid w:val="00572557"/>
    <w:rsid w:val="00574F17"/>
    <w:rsid w:val="00575F00"/>
    <w:rsid w:val="005808B5"/>
    <w:rsid w:val="00582218"/>
    <w:rsid w:val="0058415D"/>
    <w:rsid w:val="0058433D"/>
    <w:rsid w:val="005909B3"/>
    <w:rsid w:val="005938CC"/>
    <w:rsid w:val="00593DA2"/>
    <w:rsid w:val="0059440E"/>
    <w:rsid w:val="005944EE"/>
    <w:rsid w:val="00594BFA"/>
    <w:rsid w:val="005A140A"/>
    <w:rsid w:val="005A2846"/>
    <w:rsid w:val="005B0C1C"/>
    <w:rsid w:val="005B2163"/>
    <w:rsid w:val="005B2C4D"/>
    <w:rsid w:val="005B3118"/>
    <w:rsid w:val="005B5BF2"/>
    <w:rsid w:val="005B608D"/>
    <w:rsid w:val="005B68B7"/>
    <w:rsid w:val="005C24D7"/>
    <w:rsid w:val="005C35A1"/>
    <w:rsid w:val="005C6C59"/>
    <w:rsid w:val="005C6DDD"/>
    <w:rsid w:val="005D012E"/>
    <w:rsid w:val="005D4C5F"/>
    <w:rsid w:val="005D7062"/>
    <w:rsid w:val="005D70B1"/>
    <w:rsid w:val="005D772E"/>
    <w:rsid w:val="005E13E1"/>
    <w:rsid w:val="005E2386"/>
    <w:rsid w:val="005E4B20"/>
    <w:rsid w:val="005E5607"/>
    <w:rsid w:val="005E6A20"/>
    <w:rsid w:val="005E6F2C"/>
    <w:rsid w:val="005F1563"/>
    <w:rsid w:val="005F1EC4"/>
    <w:rsid w:val="005F2C65"/>
    <w:rsid w:val="005F66BD"/>
    <w:rsid w:val="005F7315"/>
    <w:rsid w:val="005F7792"/>
    <w:rsid w:val="005F7CC1"/>
    <w:rsid w:val="0060111E"/>
    <w:rsid w:val="006017BB"/>
    <w:rsid w:val="00602E9C"/>
    <w:rsid w:val="006041ED"/>
    <w:rsid w:val="0060798A"/>
    <w:rsid w:val="00612A78"/>
    <w:rsid w:val="006136C0"/>
    <w:rsid w:val="00613C43"/>
    <w:rsid w:val="0061411A"/>
    <w:rsid w:val="006149BC"/>
    <w:rsid w:val="00615A28"/>
    <w:rsid w:val="00617F05"/>
    <w:rsid w:val="006260B9"/>
    <w:rsid w:val="00630A20"/>
    <w:rsid w:val="006311C3"/>
    <w:rsid w:val="00632F57"/>
    <w:rsid w:val="00633F9A"/>
    <w:rsid w:val="00634A22"/>
    <w:rsid w:val="00635E32"/>
    <w:rsid w:val="00641568"/>
    <w:rsid w:val="00642DDE"/>
    <w:rsid w:val="006467F7"/>
    <w:rsid w:val="00646F83"/>
    <w:rsid w:val="0064747A"/>
    <w:rsid w:val="00647A47"/>
    <w:rsid w:val="00651007"/>
    <w:rsid w:val="0065486E"/>
    <w:rsid w:val="0065573C"/>
    <w:rsid w:val="006559BF"/>
    <w:rsid w:val="0066179C"/>
    <w:rsid w:val="00661FBD"/>
    <w:rsid w:val="0066227E"/>
    <w:rsid w:val="00663554"/>
    <w:rsid w:val="0066428B"/>
    <w:rsid w:val="00664911"/>
    <w:rsid w:val="00664A47"/>
    <w:rsid w:val="00664D9F"/>
    <w:rsid w:val="00665F88"/>
    <w:rsid w:val="00666C14"/>
    <w:rsid w:val="00667D09"/>
    <w:rsid w:val="0067067F"/>
    <w:rsid w:val="00672734"/>
    <w:rsid w:val="006747C4"/>
    <w:rsid w:val="006763BF"/>
    <w:rsid w:val="00677AB1"/>
    <w:rsid w:val="00683309"/>
    <w:rsid w:val="006876AC"/>
    <w:rsid w:val="00690ABE"/>
    <w:rsid w:val="00690F02"/>
    <w:rsid w:val="00692449"/>
    <w:rsid w:val="0069336F"/>
    <w:rsid w:val="00693D02"/>
    <w:rsid w:val="006977DB"/>
    <w:rsid w:val="00697BF9"/>
    <w:rsid w:val="006A0469"/>
    <w:rsid w:val="006A105D"/>
    <w:rsid w:val="006A1CB0"/>
    <w:rsid w:val="006A25E3"/>
    <w:rsid w:val="006A5BC9"/>
    <w:rsid w:val="006B0B02"/>
    <w:rsid w:val="006B23DB"/>
    <w:rsid w:val="006B5D25"/>
    <w:rsid w:val="006B6820"/>
    <w:rsid w:val="006B6F54"/>
    <w:rsid w:val="006C0316"/>
    <w:rsid w:val="006C0EE7"/>
    <w:rsid w:val="006C293D"/>
    <w:rsid w:val="006C44F8"/>
    <w:rsid w:val="006C6674"/>
    <w:rsid w:val="006C6D9D"/>
    <w:rsid w:val="006D0E89"/>
    <w:rsid w:val="006D29D0"/>
    <w:rsid w:val="006D5D2C"/>
    <w:rsid w:val="006D7165"/>
    <w:rsid w:val="006D77A9"/>
    <w:rsid w:val="006D786C"/>
    <w:rsid w:val="006E115A"/>
    <w:rsid w:val="006E3196"/>
    <w:rsid w:val="006E328E"/>
    <w:rsid w:val="006E4265"/>
    <w:rsid w:val="006E5706"/>
    <w:rsid w:val="006E6BFD"/>
    <w:rsid w:val="006E716B"/>
    <w:rsid w:val="006F482F"/>
    <w:rsid w:val="006F6069"/>
    <w:rsid w:val="006F72D5"/>
    <w:rsid w:val="007024A4"/>
    <w:rsid w:val="00703035"/>
    <w:rsid w:val="007050EE"/>
    <w:rsid w:val="00706AB1"/>
    <w:rsid w:val="00706F54"/>
    <w:rsid w:val="007108EE"/>
    <w:rsid w:val="00710F0B"/>
    <w:rsid w:val="0071282F"/>
    <w:rsid w:val="007128AD"/>
    <w:rsid w:val="00713B80"/>
    <w:rsid w:val="00714884"/>
    <w:rsid w:val="0071726D"/>
    <w:rsid w:val="00717411"/>
    <w:rsid w:val="0072379F"/>
    <w:rsid w:val="00723B33"/>
    <w:rsid w:val="00724FE6"/>
    <w:rsid w:val="00725E94"/>
    <w:rsid w:val="007268EB"/>
    <w:rsid w:val="00730B82"/>
    <w:rsid w:val="00732AD7"/>
    <w:rsid w:val="00733A7C"/>
    <w:rsid w:val="00736AAE"/>
    <w:rsid w:val="007375CA"/>
    <w:rsid w:val="00737A76"/>
    <w:rsid w:val="007505F7"/>
    <w:rsid w:val="007516F9"/>
    <w:rsid w:val="0075322E"/>
    <w:rsid w:val="00753655"/>
    <w:rsid w:val="00756BA5"/>
    <w:rsid w:val="0076216B"/>
    <w:rsid w:val="007636CD"/>
    <w:rsid w:val="007637B4"/>
    <w:rsid w:val="007656F6"/>
    <w:rsid w:val="007678DC"/>
    <w:rsid w:val="007702EC"/>
    <w:rsid w:val="00770CE7"/>
    <w:rsid w:val="00771DBF"/>
    <w:rsid w:val="00771E8F"/>
    <w:rsid w:val="007730B4"/>
    <w:rsid w:val="00774CE0"/>
    <w:rsid w:val="00780CE9"/>
    <w:rsid w:val="00781794"/>
    <w:rsid w:val="007818BB"/>
    <w:rsid w:val="00782E30"/>
    <w:rsid w:val="00786A7C"/>
    <w:rsid w:val="0079267B"/>
    <w:rsid w:val="00793CD5"/>
    <w:rsid w:val="00796163"/>
    <w:rsid w:val="007A4006"/>
    <w:rsid w:val="007B05E3"/>
    <w:rsid w:val="007B0A23"/>
    <w:rsid w:val="007B2333"/>
    <w:rsid w:val="007B25A6"/>
    <w:rsid w:val="007B58C8"/>
    <w:rsid w:val="007B6841"/>
    <w:rsid w:val="007C4754"/>
    <w:rsid w:val="007C4A68"/>
    <w:rsid w:val="007C5D4B"/>
    <w:rsid w:val="007C62AA"/>
    <w:rsid w:val="007D475F"/>
    <w:rsid w:val="007E381C"/>
    <w:rsid w:val="007E3973"/>
    <w:rsid w:val="007E4F51"/>
    <w:rsid w:val="007E5BE6"/>
    <w:rsid w:val="007F4E2A"/>
    <w:rsid w:val="007F5854"/>
    <w:rsid w:val="008003DA"/>
    <w:rsid w:val="008005F2"/>
    <w:rsid w:val="00802607"/>
    <w:rsid w:val="00803543"/>
    <w:rsid w:val="00803D6B"/>
    <w:rsid w:val="00803DA7"/>
    <w:rsid w:val="00804005"/>
    <w:rsid w:val="00804DAB"/>
    <w:rsid w:val="008057DB"/>
    <w:rsid w:val="00807010"/>
    <w:rsid w:val="00812A6E"/>
    <w:rsid w:val="00815738"/>
    <w:rsid w:val="008216C4"/>
    <w:rsid w:val="00824908"/>
    <w:rsid w:val="00824FC8"/>
    <w:rsid w:val="00827ED3"/>
    <w:rsid w:val="008321AD"/>
    <w:rsid w:val="008322ED"/>
    <w:rsid w:val="00833387"/>
    <w:rsid w:val="008360F5"/>
    <w:rsid w:val="00840663"/>
    <w:rsid w:val="00841A9B"/>
    <w:rsid w:val="0084344A"/>
    <w:rsid w:val="00843CEA"/>
    <w:rsid w:val="00844B7C"/>
    <w:rsid w:val="00847349"/>
    <w:rsid w:val="008621B0"/>
    <w:rsid w:val="00862685"/>
    <w:rsid w:val="00862B13"/>
    <w:rsid w:val="00866087"/>
    <w:rsid w:val="008664EE"/>
    <w:rsid w:val="00866E70"/>
    <w:rsid w:val="008674A7"/>
    <w:rsid w:val="00871261"/>
    <w:rsid w:val="008715D9"/>
    <w:rsid w:val="0087165F"/>
    <w:rsid w:val="00871A1F"/>
    <w:rsid w:val="00872B0C"/>
    <w:rsid w:val="00872C6C"/>
    <w:rsid w:val="008738C9"/>
    <w:rsid w:val="00875A7B"/>
    <w:rsid w:val="00880A79"/>
    <w:rsid w:val="008836DF"/>
    <w:rsid w:val="00883B05"/>
    <w:rsid w:val="00886FD8"/>
    <w:rsid w:val="00897580"/>
    <w:rsid w:val="008A0D4F"/>
    <w:rsid w:val="008A6493"/>
    <w:rsid w:val="008A76C9"/>
    <w:rsid w:val="008B1920"/>
    <w:rsid w:val="008B22CB"/>
    <w:rsid w:val="008B284B"/>
    <w:rsid w:val="008B29D8"/>
    <w:rsid w:val="008B3EA4"/>
    <w:rsid w:val="008B5931"/>
    <w:rsid w:val="008C0E2E"/>
    <w:rsid w:val="008C42C2"/>
    <w:rsid w:val="008C789B"/>
    <w:rsid w:val="008C7F9A"/>
    <w:rsid w:val="008D3956"/>
    <w:rsid w:val="008D59B5"/>
    <w:rsid w:val="008D5F94"/>
    <w:rsid w:val="008D7345"/>
    <w:rsid w:val="008D76B4"/>
    <w:rsid w:val="008E3184"/>
    <w:rsid w:val="008E3A8C"/>
    <w:rsid w:val="008E3B38"/>
    <w:rsid w:val="008E428B"/>
    <w:rsid w:val="008E6D86"/>
    <w:rsid w:val="008E7C20"/>
    <w:rsid w:val="008F179D"/>
    <w:rsid w:val="008F45B8"/>
    <w:rsid w:val="008F4C3F"/>
    <w:rsid w:val="008F6B0A"/>
    <w:rsid w:val="009014FD"/>
    <w:rsid w:val="00903560"/>
    <w:rsid w:val="00904B9B"/>
    <w:rsid w:val="00907140"/>
    <w:rsid w:val="00907C32"/>
    <w:rsid w:val="00911751"/>
    <w:rsid w:val="00912214"/>
    <w:rsid w:val="00912A53"/>
    <w:rsid w:val="009138B4"/>
    <w:rsid w:val="00915457"/>
    <w:rsid w:val="0091564B"/>
    <w:rsid w:val="00916CF3"/>
    <w:rsid w:val="00917A09"/>
    <w:rsid w:val="009213A1"/>
    <w:rsid w:val="0092301B"/>
    <w:rsid w:val="00923222"/>
    <w:rsid w:val="00924450"/>
    <w:rsid w:val="0092483F"/>
    <w:rsid w:val="009274D7"/>
    <w:rsid w:val="009279BE"/>
    <w:rsid w:val="00927CBA"/>
    <w:rsid w:val="009310B9"/>
    <w:rsid w:val="00940092"/>
    <w:rsid w:val="0094217B"/>
    <w:rsid w:val="009439AE"/>
    <w:rsid w:val="00945D68"/>
    <w:rsid w:val="00945E1F"/>
    <w:rsid w:val="00946B18"/>
    <w:rsid w:val="009472F0"/>
    <w:rsid w:val="00950B9E"/>
    <w:rsid w:val="00951A67"/>
    <w:rsid w:val="00952B16"/>
    <w:rsid w:val="009541D8"/>
    <w:rsid w:val="00955EC3"/>
    <w:rsid w:val="009573F4"/>
    <w:rsid w:val="009579DF"/>
    <w:rsid w:val="00957F0B"/>
    <w:rsid w:val="0096435C"/>
    <w:rsid w:val="00965A55"/>
    <w:rsid w:val="00965A9F"/>
    <w:rsid w:val="009702E2"/>
    <w:rsid w:val="00970B9E"/>
    <w:rsid w:val="0097113C"/>
    <w:rsid w:val="0097446A"/>
    <w:rsid w:val="00976342"/>
    <w:rsid w:val="00982028"/>
    <w:rsid w:val="00982771"/>
    <w:rsid w:val="00984285"/>
    <w:rsid w:val="00985170"/>
    <w:rsid w:val="00993BF2"/>
    <w:rsid w:val="00993D8B"/>
    <w:rsid w:val="00996FEA"/>
    <w:rsid w:val="00997482"/>
    <w:rsid w:val="009A0F3D"/>
    <w:rsid w:val="009A2310"/>
    <w:rsid w:val="009A275C"/>
    <w:rsid w:val="009A2D7D"/>
    <w:rsid w:val="009A4528"/>
    <w:rsid w:val="009A5373"/>
    <w:rsid w:val="009A7B86"/>
    <w:rsid w:val="009B1B57"/>
    <w:rsid w:val="009B3D52"/>
    <w:rsid w:val="009B48C8"/>
    <w:rsid w:val="009B5893"/>
    <w:rsid w:val="009B7FCE"/>
    <w:rsid w:val="009C4E0A"/>
    <w:rsid w:val="009C6A4B"/>
    <w:rsid w:val="009D08E7"/>
    <w:rsid w:val="009D1698"/>
    <w:rsid w:val="009D3939"/>
    <w:rsid w:val="009D420F"/>
    <w:rsid w:val="009D5C70"/>
    <w:rsid w:val="009E445B"/>
    <w:rsid w:val="009E5A9A"/>
    <w:rsid w:val="009F11E9"/>
    <w:rsid w:val="009F19CE"/>
    <w:rsid w:val="009F3861"/>
    <w:rsid w:val="009F727D"/>
    <w:rsid w:val="009F7C3D"/>
    <w:rsid w:val="00A02577"/>
    <w:rsid w:val="00A026EA"/>
    <w:rsid w:val="00A0427A"/>
    <w:rsid w:val="00A07501"/>
    <w:rsid w:val="00A11D30"/>
    <w:rsid w:val="00A122FC"/>
    <w:rsid w:val="00A14FC0"/>
    <w:rsid w:val="00A16D87"/>
    <w:rsid w:val="00A173EC"/>
    <w:rsid w:val="00A2026B"/>
    <w:rsid w:val="00A23B76"/>
    <w:rsid w:val="00A23E4C"/>
    <w:rsid w:val="00A24129"/>
    <w:rsid w:val="00A24BB6"/>
    <w:rsid w:val="00A25C51"/>
    <w:rsid w:val="00A27618"/>
    <w:rsid w:val="00A3014A"/>
    <w:rsid w:val="00A32D33"/>
    <w:rsid w:val="00A34A35"/>
    <w:rsid w:val="00A35841"/>
    <w:rsid w:val="00A41D3E"/>
    <w:rsid w:val="00A42846"/>
    <w:rsid w:val="00A428C1"/>
    <w:rsid w:val="00A4433C"/>
    <w:rsid w:val="00A455F1"/>
    <w:rsid w:val="00A45988"/>
    <w:rsid w:val="00A45FC0"/>
    <w:rsid w:val="00A477F6"/>
    <w:rsid w:val="00A505F3"/>
    <w:rsid w:val="00A50871"/>
    <w:rsid w:val="00A5247F"/>
    <w:rsid w:val="00A54C92"/>
    <w:rsid w:val="00A5718B"/>
    <w:rsid w:val="00A621A8"/>
    <w:rsid w:val="00A670E9"/>
    <w:rsid w:val="00A678A6"/>
    <w:rsid w:val="00A70472"/>
    <w:rsid w:val="00A7386B"/>
    <w:rsid w:val="00A73A01"/>
    <w:rsid w:val="00A77243"/>
    <w:rsid w:val="00A77D7B"/>
    <w:rsid w:val="00A809C5"/>
    <w:rsid w:val="00A81720"/>
    <w:rsid w:val="00A82995"/>
    <w:rsid w:val="00A846BB"/>
    <w:rsid w:val="00A84A10"/>
    <w:rsid w:val="00A854A2"/>
    <w:rsid w:val="00A87292"/>
    <w:rsid w:val="00A93318"/>
    <w:rsid w:val="00A94592"/>
    <w:rsid w:val="00A95436"/>
    <w:rsid w:val="00A95C7A"/>
    <w:rsid w:val="00A97375"/>
    <w:rsid w:val="00AA0DA5"/>
    <w:rsid w:val="00AA1B94"/>
    <w:rsid w:val="00AA5F92"/>
    <w:rsid w:val="00AA61FB"/>
    <w:rsid w:val="00AA6C7C"/>
    <w:rsid w:val="00AB065E"/>
    <w:rsid w:val="00AB4AAB"/>
    <w:rsid w:val="00AB4B9A"/>
    <w:rsid w:val="00AB61C0"/>
    <w:rsid w:val="00AC13BD"/>
    <w:rsid w:val="00AC1999"/>
    <w:rsid w:val="00AC24E7"/>
    <w:rsid w:val="00AC39C8"/>
    <w:rsid w:val="00AC4E2E"/>
    <w:rsid w:val="00AC51F3"/>
    <w:rsid w:val="00AD0EA4"/>
    <w:rsid w:val="00AD204C"/>
    <w:rsid w:val="00AD22DA"/>
    <w:rsid w:val="00AD441E"/>
    <w:rsid w:val="00AD66F4"/>
    <w:rsid w:val="00AE1A6A"/>
    <w:rsid w:val="00AE6129"/>
    <w:rsid w:val="00AE68BE"/>
    <w:rsid w:val="00AE770D"/>
    <w:rsid w:val="00AF3555"/>
    <w:rsid w:val="00AF3E1B"/>
    <w:rsid w:val="00AF637D"/>
    <w:rsid w:val="00AF753A"/>
    <w:rsid w:val="00B00B80"/>
    <w:rsid w:val="00B013E3"/>
    <w:rsid w:val="00B01424"/>
    <w:rsid w:val="00B01CF9"/>
    <w:rsid w:val="00B02CA6"/>
    <w:rsid w:val="00B14BB5"/>
    <w:rsid w:val="00B154E3"/>
    <w:rsid w:val="00B16A3E"/>
    <w:rsid w:val="00B17747"/>
    <w:rsid w:val="00B2081A"/>
    <w:rsid w:val="00B21223"/>
    <w:rsid w:val="00B22457"/>
    <w:rsid w:val="00B2568C"/>
    <w:rsid w:val="00B26241"/>
    <w:rsid w:val="00B27B9F"/>
    <w:rsid w:val="00B31212"/>
    <w:rsid w:val="00B31FA1"/>
    <w:rsid w:val="00B35672"/>
    <w:rsid w:val="00B36971"/>
    <w:rsid w:val="00B373A8"/>
    <w:rsid w:val="00B411AB"/>
    <w:rsid w:val="00B429DB"/>
    <w:rsid w:val="00B432FE"/>
    <w:rsid w:val="00B44F1B"/>
    <w:rsid w:val="00B46027"/>
    <w:rsid w:val="00B46694"/>
    <w:rsid w:val="00B47EE2"/>
    <w:rsid w:val="00B50622"/>
    <w:rsid w:val="00B50AC9"/>
    <w:rsid w:val="00B5133F"/>
    <w:rsid w:val="00B52746"/>
    <w:rsid w:val="00B528C9"/>
    <w:rsid w:val="00B52F1B"/>
    <w:rsid w:val="00B559A3"/>
    <w:rsid w:val="00B56851"/>
    <w:rsid w:val="00B56AC1"/>
    <w:rsid w:val="00B56BB7"/>
    <w:rsid w:val="00B61C15"/>
    <w:rsid w:val="00B63BE5"/>
    <w:rsid w:val="00B652D6"/>
    <w:rsid w:val="00B6546D"/>
    <w:rsid w:val="00B6667D"/>
    <w:rsid w:val="00B7150D"/>
    <w:rsid w:val="00B72901"/>
    <w:rsid w:val="00B730EE"/>
    <w:rsid w:val="00B7513B"/>
    <w:rsid w:val="00B76CD7"/>
    <w:rsid w:val="00B77C1B"/>
    <w:rsid w:val="00B80E4B"/>
    <w:rsid w:val="00B81D94"/>
    <w:rsid w:val="00B83242"/>
    <w:rsid w:val="00B8609E"/>
    <w:rsid w:val="00B86518"/>
    <w:rsid w:val="00B86951"/>
    <w:rsid w:val="00B86B01"/>
    <w:rsid w:val="00B9031F"/>
    <w:rsid w:val="00B9053E"/>
    <w:rsid w:val="00B92B75"/>
    <w:rsid w:val="00B95264"/>
    <w:rsid w:val="00B97B5C"/>
    <w:rsid w:val="00B97BCF"/>
    <w:rsid w:val="00BA0D67"/>
    <w:rsid w:val="00BA276B"/>
    <w:rsid w:val="00BA2B3A"/>
    <w:rsid w:val="00BA2BAD"/>
    <w:rsid w:val="00BA2CE9"/>
    <w:rsid w:val="00BA544A"/>
    <w:rsid w:val="00BA7113"/>
    <w:rsid w:val="00BA769C"/>
    <w:rsid w:val="00BB0D97"/>
    <w:rsid w:val="00BB15E7"/>
    <w:rsid w:val="00BB26E9"/>
    <w:rsid w:val="00BB27D4"/>
    <w:rsid w:val="00BB7E55"/>
    <w:rsid w:val="00BC3269"/>
    <w:rsid w:val="00BC3A3A"/>
    <w:rsid w:val="00BC49DB"/>
    <w:rsid w:val="00BC4C19"/>
    <w:rsid w:val="00BC4D5F"/>
    <w:rsid w:val="00BC5370"/>
    <w:rsid w:val="00BC596C"/>
    <w:rsid w:val="00BC7D4A"/>
    <w:rsid w:val="00BD0178"/>
    <w:rsid w:val="00BD0991"/>
    <w:rsid w:val="00BD4506"/>
    <w:rsid w:val="00BD5163"/>
    <w:rsid w:val="00BE4957"/>
    <w:rsid w:val="00BE7614"/>
    <w:rsid w:val="00BE7DAC"/>
    <w:rsid w:val="00BF2024"/>
    <w:rsid w:val="00BF2A7D"/>
    <w:rsid w:val="00BF3C29"/>
    <w:rsid w:val="00BF4270"/>
    <w:rsid w:val="00BF46DE"/>
    <w:rsid w:val="00BF5452"/>
    <w:rsid w:val="00BF5BDB"/>
    <w:rsid w:val="00BF69F5"/>
    <w:rsid w:val="00C07407"/>
    <w:rsid w:val="00C112FD"/>
    <w:rsid w:val="00C12211"/>
    <w:rsid w:val="00C16F67"/>
    <w:rsid w:val="00C17E3D"/>
    <w:rsid w:val="00C20165"/>
    <w:rsid w:val="00C230BC"/>
    <w:rsid w:val="00C25258"/>
    <w:rsid w:val="00C265A1"/>
    <w:rsid w:val="00C26D1B"/>
    <w:rsid w:val="00C26D82"/>
    <w:rsid w:val="00C30298"/>
    <w:rsid w:val="00C30E47"/>
    <w:rsid w:val="00C333FE"/>
    <w:rsid w:val="00C338F4"/>
    <w:rsid w:val="00C34743"/>
    <w:rsid w:val="00C357B9"/>
    <w:rsid w:val="00C3701A"/>
    <w:rsid w:val="00C372DB"/>
    <w:rsid w:val="00C376C5"/>
    <w:rsid w:val="00C3796B"/>
    <w:rsid w:val="00C402CB"/>
    <w:rsid w:val="00C4060C"/>
    <w:rsid w:val="00C408FA"/>
    <w:rsid w:val="00C459E9"/>
    <w:rsid w:val="00C46CDB"/>
    <w:rsid w:val="00C535ED"/>
    <w:rsid w:val="00C537CA"/>
    <w:rsid w:val="00C546E9"/>
    <w:rsid w:val="00C6083F"/>
    <w:rsid w:val="00C61132"/>
    <w:rsid w:val="00C653B3"/>
    <w:rsid w:val="00C718F4"/>
    <w:rsid w:val="00C73436"/>
    <w:rsid w:val="00C76D41"/>
    <w:rsid w:val="00C80374"/>
    <w:rsid w:val="00C80C2B"/>
    <w:rsid w:val="00C86D58"/>
    <w:rsid w:val="00C87EE3"/>
    <w:rsid w:val="00C904A3"/>
    <w:rsid w:val="00C907CC"/>
    <w:rsid w:val="00C90C80"/>
    <w:rsid w:val="00C91573"/>
    <w:rsid w:val="00C91C99"/>
    <w:rsid w:val="00C922B8"/>
    <w:rsid w:val="00C93014"/>
    <w:rsid w:val="00C9469E"/>
    <w:rsid w:val="00C94BCF"/>
    <w:rsid w:val="00C970C9"/>
    <w:rsid w:val="00CA25DF"/>
    <w:rsid w:val="00CA3A7A"/>
    <w:rsid w:val="00CA43A7"/>
    <w:rsid w:val="00CA63AE"/>
    <w:rsid w:val="00CA6FD4"/>
    <w:rsid w:val="00CA704F"/>
    <w:rsid w:val="00CB0483"/>
    <w:rsid w:val="00CB15CF"/>
    <w:rsid w:val="00CB279B"/>
    <w:rsid w:val="00CB34CE"/>
    <w:rsid w:val="00CB511D"/>
    <w:rsid w:val="00CB5770"/>
    <w:rsid w:val="00CB7415"/>
    <w:rsid w:val="00CB7D40"/>
    <w:rsid w:val="00CC0081"/>
    <w:rsid w:val="00CC0F4E"/>
    <w:rsid w:val="00CC1EA4"/>
    <w:rsid w:val="00CC1EF2"/>
    <w:rsid w:val="00CC21DE"/>
    <w:rsid w:val="00CC3656"/>
    <w:rsid w:val="00CC596A"/>
    <w:rsid w:val="00CC79D4"/>
    <w:rsid w:val="00CD0503"/>
    <w:rsid w:val="00CD4614"/>
    <w:rsid w:val="00CD4F58"/>
    <w:rsid w:val="00CE1C2B"/>
    <w:rsid w:val="00CE1E6E"/>
    <w:rsid w:val="00CE5302"/>
    <w:rsid w:val="00CE5BD1"/>
    <w:rsid w:val="00CE72A8"/>
    <w:rsid w:val="00CE764A"/>
    <w:rsid w:val="00CF5092"/>
    <w:rsid w:val="00D0072C"/>
    <w:rsid w:val="00D0340C"/>
    <w:rsid w:val="00D037C0"/>
    <w:rsid w:val="00D04EC4"/>
    <w:rsid w:val="00D05544"/>
    <w:rsid w:val="00D05E95"/>
    <w:rsid w:val="00D065B3"/>
    <w:rsid w:val="00D10BE1"/>
    <w:rsid w:val="00D10D09"/>
    <w:rsid w:val="00D10D16"/>
    <w:rsid w:val="00D11A10"/>
    <w:rsid w:val="00D130D6"/>
    <w:rsid w:val="00D1490F"/>
    <w:rsid w:val="00D15337"/>
    <w:rsid w:val="00D17978"/>
    <w:rsid w:val="00D21AB0"/>
    <w:rsid w:val="00D22018"/>
    <w:rsid w:val="00D22E0C"/>
    <w:rsid w:val="00D25653"/>
    <w:rsid w:val="00D25E68"/>
    <w:rsid w:val="00D27A6B"/>
    <w:rsid w:val="00D307A1"/>
    <w:rsid w:val="00D310C3"/>
    <w:rsid w:val="00D33885"/>
    <w:rsid w:val="00D35BE4"/>
    <w:rsid w:val="00D368DC"/>
    <w:rsid w:val="00D370EA"/>
    <w:rsid w:val="00D37CD9"/>
    <w:rsid w:val="00D40C53"/>
    <w:rsid w:val="00D41F9F"/>
    <w:rsid w:val="00D425A5"/>
    <w:rsid w:val="00D440E2"/>
    <w:rsid w:val="00D4544F"/>
    <w:rsid w:val="00D45957"/>
    <w:rsid w:val="00D45C55"/>
    <w:rsid w:val="00D52720"/>
    <w:rsid w:val="00D53C1A"/>
    <w:rsid w:val="00D544B5"/>
    <w:rsid w:val="00D5491B"/>
    <w:rsid w:val="00D55F77"/>
    <w:rsid w:val="00D569E9"/>
    <w:rsid w:val="00D56D38"/>
    <w:rsid w:val="00D64CC7"/>
    <w:rsid w:val="00D6595D"/>
    <w:rsid w:val="00D65CC6"/>
    <w:rsid w:val="00D66227"/>
    <w:rsid w:val="00D6747B"/>
    <w:rsid w:val="00D70FCF"/>
    <w:rsid w:val="00D71A16"/>
    <w:rsid w:val="00D75E69"/>
    <w:rsid w:val="00D81104"/>
    <w:rsid w:val="00D83362"/>
    <w:rsid w:val="00D840EA"/>
    <w:rsid w:val="00D8463A"/>
    <w:rsid w:val="00D84E37"/>
    <w:rsid w:val="00D8701C"/>
    <w:rsid w:val="00D872E6"/>
    <w:rsid w:val="00D9050C"/>
    <w:rsid w:val="00D90EB1"/>
    <w:rsid w:val="00D92BFA"/>
    <w:rsid w:val="00D939C2"/>
    <w:rsid w:val="00DA2574"/>
    <w:rsid w:val="00DA2D30"/>
    <w:rsid w:val="00DA2DA6"/>
    <w:rsid w:val="00DA6E35"/>
    <w:rsid w:val="00DA7240"/>
    <w:rsid w:val="00DB3863"/>
    <w:rsid w:val="00DB436B"/>
    <w:rsid w:val="00DB6831"/>
    <w:rsid w:val="00DC2838"/>
    <w:rsid w:val="00DC4C93"/>
    <w:rsid w:val="00DC5857"/>
    <w:rsid w:val="00DC5E8C"/>
    <w:rsid w:val="00DC6CFD"/>
    <w:rsid w:val="00DD2C06"/>
    <w:rsid w:val="00DD455D"/>
    <w:rsid w:val="00DD4BB3"/>
    <w:rsid w:val="00DD50D3"/>
    <w:rsid w:val="00DD5976"/>
    <w:rsid w:val="00DD63F6"/>
    <w:rsid w:val="00DD718E"/>
    <w:rsid w:val="00DD75D5"/>
    <w:rsid w:val="00DE0D32"/>
    <w:rsid w:val="00DE28F9"/>
    <w:rsid w:val="00DE5B5C"/>
    <w:rsid w:val="00DE61F0"/>
    <w:rsid w:val="00DE743B"/>
    <w:rsid w:val="00DF27DF"/>
    <w:rsid w:val="00DF31A2"/>
    <w:rsid w:val="00DF56C2"/>
    <w:rsid w:val="00DF5A49"/>
    <w:rsid w:val="00DF6150"/>
    <w:rsid w:val="00DF6898"/>
    <w:rsid w:val="00E02C54"/>
    <w:rsid w:val="00E0328C"/>
    <w:rsid w:val="00E102ED"/>
    <w:rsid w:val="00E13A2B"/>
    <w:rsid w:val="00E14F38"/>
    <w:rsid w:val="00E16D7A"/>
    <w:rsid w:val="00E200C6"/>
    <w:rsid w:val="00E20D38"/>
    <w:rsid w:val="00E21C39"/>
    <w:rsid w:val="00E22F6F"/>
    <w:rsid w:val="00E239B0"/>
    <w:rsid w:val="00E24014"/>
    <w:rsid w:val="00E30A09"/>
    <w:rsid w:val="00E32E82"/>
    <w:rsid w:val="00E35723"/>
    <w:rsid w:val="00E362E8"/>
    <w:rsid w:val="00E4259B"/>
    <w:rsid w:val="00E4327D"/>
    <w:rsid w:val="00E44C98"/>
    <w:rsid w:val="00E46893"/>
    <w:rsid w:val="00E46DCC"/>
    <w:rsid w:val="00E50934"/>
    <w:rsid w:val="00E524A4"/>
    <w:rsid w:val="00E55CF9"/>
    <w:rsid w:val="00E57697"/>
    <w:rsid w:val="00E57AD3"/>
    <w:rsid w:val="00E615B9"/>
    <w:rsid w:val="00E617B9"/>
    <w:rsid w:val="00E61F0C"/>
    <w:rsid w:val="00E62269"/>
    <w:rsid w:val="00E64B83"/>
    <w:rsid w:val="00E70224"/>
    <w:rsid w:val="00E71ADC"/>
    <w:rsid w:val="00E779B1"/>
    <w:rsid w:val="00E80E02"/>
    <w:rsid w:val="00E83000"/>
    <w:rsid w:val="00E84096"/>
    <w:rsid w:val="00E849E7"/>
    <w:rsid w:val="00E86843"/>
    <w:rsid w:val="00E86C63"/>
    <w:rsid w:val="00E917EC"/>
    <w:rsid w:val="00E92A58"/>
    <w:rsid w:val="00E92AEE"/>
    <w:rsid w:val="00E949E1"/>
    <w:rsid w:val="00E94AA9"/>
    <w:rsid w:val="00E95F40"/>
    <w:rsid w:val="00E97B25"/>
    <w:rsid w:val="00EA089D"/>
    <w:rsid w:val="00EA4357"/>
    <w:rsid w:val="00EA555F"/>
    <w:rsid w:val="00EA6454"/>
    <w:rsid w:val="00EB14B0"/>
    <w:rsid w:val="00EB1EFA"/>
    <w:rsid w:val="00EB405E"/>
    <w:rsid w:val="00EB45A7"/>
    <w:rsid w:val="00EB46E5"/>
    <w:rsid w:val="00EB5D3A"/>
    <w:rsid w:val="00EB665C"/>
    <w:rsid w:val="00EC06E3"/>
    <w:rsid w:val="00EC1175"/>
    <w:rsid w:val="00EC22BE"/>
    <w:rsid w:val="00EC2713"/>
    <w:rsid w:val="00EC787D"/>
    <w:rsid w:val="00ED1362"/>
    <w:rsid w:val="00ED7585"/>
    <w:rsid w:val="00ED7877"/>
    <w:rsid w:val="00ED7891"/>
    <w:rsid w:val="00ED7BF5"/>
    <w:rsid w:val="00EE13FF"/>
    <w:rsid w:val="00EE4005"/>
    <w:rsid w:val="00EE4518"/>
    <w:rsid w:val="00EF002F"/>
    <w:rsid w:val="00EF0D02"/>
    <w:rsid w:val="00EF0EE3"/>
    <w:rsid w:val="00EF15B3"/>
    <w:rsid w:val="00EF168E"/>
    <w:rsid w:val="00EF3C01"/>
    <w:rsid w:val="00EF7E66"/>
    <w:rsid w:val="00F00BE5"/>
    <w:rsid w:val="00F0332F"/>
    <w:rsid w:val="00F03390"/>
    <w:rsid w:val="00F03F17"/>
    <w:rsid w:val="00F05731"/>
    <w:rsid w:val="00F06D88"/>
    <w:rsid w:val="00F119F1"/>
    <w:rsid w:val="00F152EC"/>
    <w:rsid w:val="00F219D7"/>
    <w:rsid w:val="00F23D1C"/>
    <w:rsid w:val="00F24A43"/>
    <w:rsid w:val="00F261D8"/>
    <w:rsid w:val="00F27206"/>
    <w:rsid w:val="00F30976"/>
    <w:rsid w:val="00F4112C"/>
    <w:rsid w:val="00F4454B"/>
    <w:rsid w:val="00F47DB7"/>
    <w:rsid w:val="00F51255"/>
    <w:rsid w:val="00F52417"/>
    <w:rsid w:val="00F532E2"/>
    <w:rsid w:val="00F6001E"/>
    <w:rsid w:val="00F602BC"/>
    <w:rsid w:val="00F61221"/>
    <w:rsid w:val="00F6137B"/>
    <w:rsid w:val="00F63198"/>
    <w:rsid w:val="00F65051"/>
    <w:rsid w:val="00F65678"/>
    <w:rsid w:val="00F664EA"/>
    <w:rsid w:val="00F67D98"/>
    <w:rsid w:val="00F7453A"/>
    <w:rsid w:val="00F7468C"/>
    <w:rsid w:val="00F74D57"/>
    <w:rsid w:val="00F82BB1"/>
    <w:rsid w:val="00F82C9C"/>
    <w:rsid w:val="00F8304E"/>
    <w:rsid w:val="00F853FF"/>
    <w:rsid w:val="00F85E11"/>
    <w:rsid w:val="00F8733F"/>
    <w:rsid w:val="00F92982"/>
    <w:rsid w:val="00F961BB"/>
    <w:rsid w:val="00F97279"/>
    <w:rsid w:val="00FA00CB"/>
    <w:rsid w:val="00FA06F2"/>
    <w:rsid w:val="00FA08F9"/>
    <w:rsid w:val="00FA268A"/>
    <w:rsid w:val="00FA34FD"/>
    <w:rsid w:val="00FB0647"/>
    <w:rsid w:val="00FB25AF"/>
    <w:rsid w:val="00FB3519"/>
    <w:rsid w:val="00FB4319"/>
    <w:rsid w:val="00FC3F3F"/>
    <w:rsid w:val="00FC6188"/>
    <w:rsid w:val="00FC7C21"/>
    <w:rsid w:val="00FD1AFF"/>
    <w:rsid w:val="00FD35CB"/>
    <w:rsid w:val="00FD462A"/>
    <w:rsid w:val="00FD4ACD"/>
    <w:rsid w:val="00FD74C9"/>
    <w:rsid w:val="00FD774B"/>
    <w:rsid w:val="00FE1A41"/>
    <w:rsid w:val="00FE31EC"/>
    <w:rsid w:val="00FE464C"/>
    <w:rsid w:val="00FE6D99"/>
    <w:rsid w:val="00FE6DFB"/>
    <w:rsid w:val="00FF0E82"/>
    <w:rsid w:val="00FF0EED"/>
    <w:rsid w:val="00FF1E00"/>
    <w:rsid w:val="00FF2279"/>
    <w:rsid w:val="00FF2B64"/>
    <w:rsid w:val="00FF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57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99"/>
    <w:rsid w:val="00F929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
    <w:name w:val="Grid Table 5 Dark"/>
    <w:basedOn w:val="NormaleTabelle"/>
    <w:uiPriority w:val="50"/>
    <w:rsid w:val="00F929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tternetztabelle7farbig">
    <w:name w:val="Grid Table 7 Colorful"/>
    <w:basedOn w:val="NormaleTabelle"/>
    <w:uiPriority w:val="52"/>
    <w:rsid w:val="00F929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
    <w:name w:val="Grid Table 3"/>
    <w:basedOn w:val="NormaleTabelle"/>
    <w:uiPriority w:val="99"/>
    <w:rsid w:val="00F929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tzhaltertext">
    <w:name w:val="Placeholder Text"/>
    <w:basedOn w:val="Absatz-Standardschriftart"/>
    <w:uiPriority w:val="99"/>
    <w:semiHidden/>
    <w:rsid w:val="000F3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115834704">
      <w:bodyDiv w:val="1"/>
      <w:marLeft w:val="0"/>
      <w:marRight w:val="0"/>
      <w:marTop w:val="0"/>
      <w:marBottom w:val="0"/>
      <w:divBdr>
        <w:top w:val="none" w:sz="0" w:space="0" w:color="auto"/>
        <w:left w:val="none" w:sz="0" w:space="0" w:color="auto"/>
        <w:bottom w:val="none" w:sz="0" w:space="0" w:color="auto"/>
        <w:right w:val="none" w:sz="0" w:space="0" w:color="auto"/>
      </w:divBdr>
    </w:div>
    <w:div w:id="240986729">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359551033">
      <w:bodyDiv w:val="1"/>
      <w:marLeft w:val="0"/>
      <w:marRight w:val="0"/>
      <w:marTop w:val="0"/>
      <w:marBottom w:val="0"/>
      <w:divBdr>
        <w:top w:val="none" w:sz="0" w:space="0" w:color="auto"/>
        <w:left w:val="none" w:sz="0" w:space="0" w:color="auto"/>
        <w:bottom w:val="none" w:sz="0" w:space="0" w:color="auto"/>
        <w:right w:val="none" w:sz="0" w:space="0" w:color="auto"/>
      </w:divBdr>
    </w:div>
    <w:div w:id="427383911">
      <w:bodyDiv w:val="1"/>
      <w:marLeft w:val="0"/>
      <w:marRight w:val="0"/>
      <w:marTop w:val="0"/>
      <w:marBottom w:val="0"/>
      <w:divBdr>
        <w:top w:val="none" w:sz="0" w:space="0" w:color="auto"/>
        <w:left w:val="none" w:sz="0" w:space="0" w:color="auto"/>
        <w:bottom w:val="none" w:sz="0" w:space="0" w:color="auto"/>
        <w:right w:val="none" w:sz="0" w:space="0" w:color="auto"/>
      </w:divBdr>
    </w:div>
    <w:div w:id="516701222">
      <w:bodyDiv w:val="1"/>
      <w:marLeft w:val="0"/>
      <w:marRight w:val="0"/>
      <w:marTop w:val="0"/>
      <w:marBottom w:val="0"/>
      <w:divBdr>
        <w:top w:val="none" w:sz="0" w:space="0" w:color="auto"/>
        <w:left w:val="none" w:sz="0" w:space="0" w:color="auto"/>
        <w:bottom w:val="none" w:sz="0" w:space="0" w:color="auto"/>
        <w:right w:val="none" w:sz="0" w:space="0" w:color="auto"/>
      </w:divBdr>
    </w:div>
    <w:div w:id="525409889">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5914954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2820661">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104954990">
      <w:bodyDiv w:val="1"/>
      <w:marLeft w:val="0"/>
      <w:marRight w:val="0"/>
      <w:marTop w:val="0"/>
      <w:marBottom w:val="0"/>
      <w:divBdr>
        <w:top w:val="none" w:sz="0" w:space="0" w:color="auto"/>
        <w:left w:val="none" w:sz="0" w:space="0" w:color="auto"/>
        <w:bottom w:val="none" w:sz="0" w:space="0" w:color="auto"/>
        <w:right w:val="none" w:sz="0" w:space="0" w:color="auto"/>
      </w:divBdr>
    </w:div>
    <w:div w:id="1229345004">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489441998">
      <w:bodyDiv w:val="1"/>
      <w:marLeft w:val="0"/>
      <w:marRight w:val="0"/>
      <w:marTop w:val="0"/>
      <w:marBottom w:val="0"/>
      <w:divBdr>
        <w:top w:val="none" w:sz="0" w:space="0" w:color="auto"/>
        <w:left w:val="none" w:sz="0" w:space="0" w:color="auto"/>
        <w:bottom w:val="none" w:sz="0" w:space="0" w:color="auto"/>
        <w:right w:val="none" w:sz="0" w:space="0" w:color="auto"/>
      </w:divBdr>
    </w:div>
    <w:div w:id="1498379303">
      <w:bodyDiv w:val="1"/>
      <w:marLeft w:val="0"/>
      <w:marRight w:val="0"/>
      <w:marTop w:val="0"/>
      <w:marBottom w:val="0"/>
      <w:divBdr>
        <w:top w:val="none" w:sz="0" w:space="0" w:color="auto"/>
        <w:left w:val="none" w:sz="0" w:space="0" w:color="auto"/>
        <w:bottom w:val="none" w:sz="0" w:space="0" w:color="auto"/>
        <w:right w:val="none" w:sz="0" w:space="0" w:color="auto"/>
      </w:divBdr>
    </w:div>
    <w:div w:id="1774592795">
      <w:bodyDiv w:val="1"/>
      <w:marLeft w:val="0"/>
      <w:marRight w:val="0"/>
      <w:marTop w:val="0"/>
      <w:marBottom w:val="0"/>
      <w:divBdr>
        <w:top w:val="none" w:sz="0" w:space="0" w:color="auto"/>
        <w:left w:val="none" w:sz="0" w:space="0" w:color="auto"/>
        <w:bottom w:val="none" w:sz="0" w:space="0" w:color="auto"/>
        <w:right w:val="none" w:sz="0" w:space="0" w:color="auto"/>
      </w:divBdr>
    </w:div>
    <w:div w:id="1859585305">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de-DE"/>
              <a:t>Anteil</a:t>
            </a:r>
            <a:r>
              <a:rPr lang="de-DE" baseline="0"/>
              <a:t> Arbeitsstunden mit Werkverträgen in der Fleischindustrie</a:t>
            </a:r>
            <a:endParaRPr lang="de-DE"/>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Tabelle1!$A$11:$B$11</c:f>
              <c:numCache>
                <c:formatCode>General</c:formatCode>
                <c:ptCount val="2"/>
                <c:pt idx="0">
                  <c:v>2019</c:v>
                </c:pt>
                <c:pt idx="1">
                  <c:v>2020</c:v>
                </c:pt>
              </c:numCache>
            </c:numRef>
          </c:cat>
          <c:val>
            <c:numRef>
              <c:f>Tabelle1!$A$12:$B$12</c:f>
              <c:numCache>
                <c:formatCode>0.00%</c:formatCode>
                <c:ptCount val="2"/>
                <c:pt idx="0">
                  <c:v>0.3881</c:v>
                </c:pt>
                <c:pt idx="1">
                  <c:v>0.3483</c:v>
                </c:pt>
              </c:numCache>
            </c:numRef>
          </c:val>
        </c:ser>
        <c:dLbls>
          <c:dLblPos val="inEnd"/>
          <c:showLegendKey val="0"/>
          <c:showVal val="1"/>
          <c:showCatName val="0"/>
          <c:showSerName val="0"/>
          <c:showPercent val="0"/>
          <c:showBubbleSize val="0"/>
        </c:dLbls>
        <c:gapWidth val="65"/>
        <c:axId val="8728152"/>
        <c:axId val="292909544"/>
      </c:barChart>
      <c:catAx>
        <c:axId val="8728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292909544"/>
        <c:crosses val="autoZero"/>
        <c:auto val="1"/>
        <c:lblAlgn val="ctr"/>
        <c:lblOffset val="100"/>
        <c:noMultiLvlLbl val="0"/>
      </c:catAx>
      <c:valAx>
        <c:axId val="292909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728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83C1-651D-4ED5-A47C-4CB1A2CF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4</cp:revision>
  <cp:lastPrinted>2021-02-01T14:28:00Z</cp:lastPrinted>
  <dcterms:created xsi:type="dcterms:W3CDTF">2021-08-31T12:48:00Z</dcterms:created>
  <dcterms:modified xsi:type="dcterms:W3CDTF">2021-09-09T05:47:00Z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